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D2E" w:rsidRPr="00FE7357" w:rsidRDefault="00F23310" w:rsidP="00D83D2E">
      <w:pPr>
        <w:tabs>
          <w:tab w:val="left" w:pos="5103"/>
        </w:tabs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D83D2E">
        <w:rPr>
          <w:sz w:val="24"/>
          <w:szCs w:val="24"/>
        </w:rPr>
        <w:tab/>
      </w:r>
      <w:r w:rsidR="00D83D2E" w:rsidRPr="00FE7357">
        <w:rPr>
          <w:sz w:val="24"/>
          <w:szCs w:val="24"/>
        </w:rPr>
        <w:t>Załącznik Nr 2</w:t>
      </w:r>
    </w:p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>do uchwały Nr …..............</w:t>
      </w:r>
    </w:p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>Rady Powiatu .......</w:t>
      </w:r>
    </w:p>
    <w:p w:rsidR="00D83D2E" w:rsidRDefault="00D83D2E" w:rsidP="00D83D2E">
      <w:pPr>
        <w:tabs>
          <w:tab w:val="left" w:pos="5103"/>
        </w:tabs>
      </w:pPr>
      <w:r w:rsidRPr="00FE7357">
        <w:rPr>
          <w:sz w:val="24"/>
          <w:szCs w:val="24"/>
        </w:rPr>
        <w:tab/>
        <w:t>w ...................................</w:t>
      </w:r>
    </w:p>
    <w:p w:rsidR="00D83D2E" w:rsidRDefault="00D83D2E" w:rsidP="00D83D2E">
      <w:pPr>
        <w:tabs>
          <w:tab w:val="left" w:pos="5103"/>
        </w:tabs>
      </w:pPr>
    </w:p>
    <w:p w:rsidR="00D83D2E" w:rsidRDefault="00D83D2E" w:rsidP="00D83D2E">
      <w:pPr>
        <w:tabs>
          <w:tab w:val="left" w:pos="5103"/>
        </w:tabs>
      </w:pPr>
    </w:p>
    <w:p w:rsidR="00D83D2E" w:rsidRDefault="00D83D2E" w:rsidP="003D3571">
      <w:pPr>
        <w:pStyle w:val="Bodytekst"/>
        <w:spacing w:after="0" w:line="360" w:lineRule="auto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Objaśnienia przyjętych wartości w wieloletniej prognozie finansowej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Powiatu Goleniowskiego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 na lata 201</w:t>
      </w:r>
      <w:r w:rsidR="007B0A29">
        <w:rPr>
          <w:rStyle w:val="Bold"/>
          <w:rFonts w:ascii="Times New Roman" w:hAnsi="Times New Roman" w:cs="Times New Roman"/>
          <w:bCs/>
          <w:sz w:val="24"/>
          <w:szCs w:val="24"/>
        </w:rPr>
        <w:t>5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</w:t>
      </w:r>
      <w:r w:rsidR="008B7101">
        <w:rPr>
          <w:rStyle w:val="Bold"/>
          <w:rFonts w:ascii="Times New Roman" w:hAnsi="Times New Roman" w:cs="Times New Roman"/>
          <w:bCs/>
          <w:sz w:val="24"/>
          <w:szCs w:val="24"/>
        </w:rPr>
        <w:t>20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oraz prognozie kwoty długu na lata 201</w:t>
      </w:r>
      <w:r w:rsidR="007B0A29">
        <w:rPr>
          <w:rStyle w:val="Bold"/>
          <w:rFonts w:ascii="Times New Roman" w:hAnsi="Times New Roman" w:cs="Times New Roman"/>
          <w:bCs/>
          <w:sz w:val="24"/>
          <w:szCs w:val="24"/>
        </w:rPr>
        <w:t>5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202</w:t>
      </w:r>
      <w:r w:rsidR="007B0A29">
        <w:rPr>
          <w:rStyle w:val="Bold"/>
          <w:rFonts w:ascii="Times New Roman" w:hAnsi="Times New Roman" w:cs="Times New Roman"/>
          <w:bCs/>
          <w:sz w:val="24"/>
          <w:szCs w:val="24"/>
        </w:rPr>
        <w:t>7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 – Zmiana wynikająca z 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projektu uchwały budżetowej na 201</w:t>
      </w:r>
      <w:r w:rsidR="007B0A29">
        <w:rPr>
          <w:rStyle w:val="Bold"/>
          <w:rFonts w:ascii="Times New Roman" w:hAnsi="Times New Roman" w:cs="Times New Roman"/>
          <w:bCs/>
          <w:sz w:val="24"/>
          <w:szCs w:val="24"/>
        </w:rPr>
        <w:t>5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rok</w:t>
      </w:r>
    </w:p>
    <w:p w:rsidR="00AC23C5" w:rsidRPr="00AC23C5" w:rsidRDefault="00AC23C5" w:rsidP="003D3571">
      <w:pPr>
        <w:spacing w:line="360" w:lineRule="auto"/>
        <w:ind w:firstLine="0"/>
        <w:jc w:val="both"/>
        <w:rPr>
          <w:color w:val="000000"/>
          <w:sz w:val="24"/>
          <w:szCs w:val="24"/>
        </w:rPr>
      </w:pPr>
      <w:r w:rsidRPr="00AC23C5">
        <w:rPr>
          <w:color w:val="000000"/>
          <w:sz w:val="24"/>
          <w:szCs w:val="24"/>
        </w:rPr>
        <w:t xml:space="preserve">Wieloletnia Prognoza Finansowa </w:t>
      </w:r>
      <w:r>
        <w:rPr>
          <w:color w:val="000000"/>
          <w:sz w:val="24"/>
          <w:szCs w:val="24"/>
        </w:rPr>
        <w:t>Powiatu Goleniowskiego</w:t>
      </w:r>
      <w:r w:rsidRPr="00AC23C5">
        <w:rPr>
          <w:color w:val="000000"/>
          <w:sz w:val="24"/>
          <w:szCs w:val="24"/>
        </w:rPr>
        <w:t xml:space="preserve"> </w:t>
      </w:r>
      <w:r w:rsidR="008B7101">
        <w:rPr>
          <w:color w:val="000000"/>
          <w:sz w:val="24"/>
          <w:szCs w:val="24"/>
        </w:rPr>
        <w:t>obejmuje</w:t>
      </w:r>
      <w:r w:rsidRPr="00AC23C5">
        <w:rPr>
          <w:color w:val="000000"/>
          <w:sz w:val="24"/>
          <w:szCs w:val="24"/>
        </w:rPr>
        <w:t xml:space="preserve"> lata 201</w:t>
      </w:r>
      <w:r>
        <w:rPr>
          <w:color w:val="000000"/>
          <w:sz w:val="24"/>
          <w:szCs w:val="24"/>
        </w:rPr>
        <w:t>5</w:t>
      </w:r>
      <w:r w:rsidRPr="00AC23C5">
        <w:rPr>
          <w:color w:val="000000"/>
          <w:sz w:val="24"/>
          <w:szCs w:val="24"/>
        </w:rPr>
        <w:t xml:space="preserve"> –202</w:t>
      </w:r>
      <w:r>
        <w:rPr>
          <w:color w:val="000000"/>
          <w:sz w:val="24"/>
          <w:szCs w:val="24"/>
        </w:rPr>
        <w:t>7</w:t>
      </w:r>
      <w:r w:rsidRPr="00AC23C5">
        <w:rPr>
          <w:color w:val="000000"/>
          <w:sz w:val="24"/>
          <w:szCs w:val="24"/>
        </w:rPr>
        <w:t>. Długość okresu objętego prognozą wynika z art.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>227 Ustawy z dnia 27 sierpnia 2009</w:t>
      </w:r>
      <w:r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roku </w:t>
      </w:r>
      <w:r w:rsidR="00CF254C">
        <w:rPr>
          <w:color w:val="000000"/>
          <w:sz w:val="24"/>
          <w:szCs w:val="24"/>
        </w:rPr>
        <w:br/>
      </w:r>
      <w:r w:rsidRPr="00AC23C5">
        <w:rPr>
          <w:color w:val="000000"/>
          <w:sz w:val="24"/>
          <w:szCs w:val="24"/>
        </w:rPr>
        <w:t xml:space="preserve">o finansach publicznych </w:t>
      </w:r>
      <w:r w:rsidR="007B0A29" w:rsidRPr="007B0A29">
        <w:rPr>
          <w:color w:val="000000"/>
          <w:sz w:val="24"/>
          <w:szCs w:val="24"/>
        </w:rPr>
        <w:t>(Dz. U.  z 2013 r. poz. 885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>z późn. zm</w:t>
      </w:r>
      <w:r w:rsidR="00BA1061">
        <w:rPr>
          <w:color w:val="000000"/>
          <w:sz w:val="24"/>
          <w:szCs w:val="24"/>
        </w:rPr>
        <w:t>.</w:t>
      </w:r>
      <w:r w:rsidR="00BA1061" w:rsidRPr="00AC23C5">
        <w:rPr>
          <w:color w:val="000000"/>
          <w:sz w:val="24"/>
          <w:szCs w:val="24"/>
        </w:rPr>
        <w:t>)</w:t>
      </w:r>
      <w:r w:rsidR="00BA1061">
        <w:rPr>
          <w:color w:val="000000"/>
          <w:sz w:val="24"/>
          <w:szCs w:val="24"/>
        </w:rPr>
        <w:t xml:space="preserve"> . Z</w:t>
      </w:r>
      <w:r w:rsidRPr="00AC23C5">
        <w:rPr>
          <w:color w:val="000000"/>
          <w:sz w:val="24"/>
          <w:szCs w:val="24"/>
        </w:rPr>
        <w:t xml:space="preserve"> brzmienia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przepisu wynika, że prognozę należy sporządzić </w:t>
      </w:r>
      <w:r w:rsidR="003F5C25" w:rsidRPr="003F5C25">
        <w:rPr>
          <w:color w:val="000000"/>
          <w:sz w:val="24"/>
          <w:szCs w:val="24"/>
        </w:rPr>
        <w:t>na okres roku budżetowego oraz co</w:t>
      </w:r>
      <w:r w:rsidR="003F5C25">
        <w:rPr>
          <w:color w:val="000000"/>
          <w:sz w:val="24"/>
          <w:szCs w:val="24"/>
        </w:rPr>
        <w:t xml:space="preserve"> </w:t>
      </w:r>
      <w:r w:rsidR="003F5C25" w:rsidRPr="003F5C25">
        <w:rPr>
          <w:color w:val="000000"/>
          <w:sz w:val="24"/>
          <w:szCs w:val="24"/>
        </w:rPr>
        <w:t>najmniej trzech kolejnych lat budżetowych</w:t>
      </w:r>
      <w:r w:rsidR="003F5C25">
        <w:rPr>
          <w:color w:val="000000"/>
          <w:sz w:val="24"/>
          <w:szCs w:val="24"/>
        </w:rPr>
        <w:t xml:space="preserve"> jednak okres objęty prognoz</w:t>
      </w:r>
      <w:r w:rsidR="00A278FC">
        <w:rPr>
          <w:color w:val="000000"/>
          <w:sz w:val="24"/>
          <w:szCs w:val="24"/>
        </w:rPr>
        <w:t>ą</w:t>
      </w:r>
      <w:r w:rsidR="003F5C25">
        <w:rPr>
          <w:color w:val="000000"/>
          <w:sz w:val="24"/>
          <w:szCs w:val="24"/>
        </w:rPr>
        <w:t xml:space="preserve"> nie może być </w:t>
      </w:r>
      <w:r w:rsidRPr="00AC23C5">
        <w:rPr>
          <w:color w:val="000000"/>
          <w:sz w:val="24"/>
          <w:szCs w:val="24"/>
        </w:rPr>
        <w:t xml:space="preserve">krótszy niż, </w:t>
      </w:r>
      <w:r w:rsidR="007B0A29" w:rsidRPr="00AC23C5">
        <w:rPr>
          <w:color w:val="000000"/>
          <w:sz w:val="24"/>
          <w:szCs w:val="24"/>
        </w:rPr>
        <w:t>okres, na jaki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>przyjęto limity wydatków dla przedsięwzięć</w:t>
      </w:r>
      <w:r w:rsidR="007B0A29">
        <w:rPr>
          <w:color w:val="000000"/>
          <w:sz w:val="24"/>
          <w:szCs w:val="24"/>
        </w:rPr>
        <w:t>, które dla Powiatu Goleniowskiego zostały zaplanowane do 20</w:t>
      </w:r>
      <w:r w:rsidR="008B7101">
        <w:rPr>
          <w:color w:val="000000"/>
          <w:sz w:val="24"/>
          <w:szCs w:val="24"/>
        </w:rPr>
        <w:t>20</w:t>
      </w:r>
      <w:r w:rsidR="007B0A29">
        <w:rPr>
          <w:color w:val="000000"/>
          <w:sz w:val="24"/>
          <w:szCs w:val="24"/>
        </w:rPr>
        <w:t xml:space="preserve"> roku. Prognoza kwoty długu dla Powiatu Goleniowskiego stanowiąca integralna część prognozy finansowej </w:t>
      </w:r>
      <w:r w:rsidRPr="00AC23C5">
        <w:rPr>
          <w:color w:val="000000"/>
          <w:sz w:val="24"/>
          <w:szCs w:val="24"/>
        </w:rPr>
        <w:t>została sporządzona na lata 201</w:t>
      </w:r>
      <w:r w:rsidR="007B0A29">
        <w:rPr>
          <w:color w:val="000000"/>
          <w:sz w:val="24"/>
          <w:szCs w:val="24"/>
        </w:rPr>
        <w:t>5-2027</w:t>
      </w:r>
      <w:r w:rsidRPr="00AC23C5">
        <w:rPr>
          <w:color w:val="000000"/>
          <w:sz w:val="24"/>
          <w:szCs w:val="24"/>
        </w:rPr>
        <w:t xml:space="preserve"> tj. do momentu całkowitej spłaty zaciągniętych </w:t>
      </w:r>
      <w:r w:rsidR="00CF254C">
        <w:rPr>
          <w:color w:val="000000"/>
          <w:sz w:val="24"/>
          <w:szCs w:val="24"/>
        </w:rPr>
        <w:br/>
      </w:r>
      <w:r w:rsidRPr="00AC23C5">
        <w:rPr>
          <w:color w:val="000000"/>
          <w:sz w:val="24"/>
          <w:szCs w:val="24"/>
        </w:rPr>
        <w:t>i planowanych do zaciągnięcia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zobowiązań z tytułu kredytów i </w:t>
      </w:r>
      <w:r w:rsidR="007B0A29">
        <w:rPr>
          <w:color w:val="000000"/>
          <w:sz w:val="24"/>
          <w:szCs w:val="24"/>
        </w:rPr>
        <w:t>obligacji</w:t>
      </w:r>
      <w:r w:rsidRPr="00AC23C5">
        <w:rPr>
          <w:color w:val="000000"/>
          <w:sz w:val="24"/>
          <w:szCs w:val="24"/>
        </w:rPr>
        <w:t>.</w:t>
      </w:r>
    </w:p>
    <w:p w:rsidR="00D83D2E" w:rsidRPr="00011964" w:rsidRDefault="00D83D2E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I. Dochody budżetowe</w:t>
      </w:r>
    </w:p>
    <w:p w:rsidR="00BA1061" w:rsidRPr="00BA1061" w:rsidRDefault="00D83D2E" w:rsidP="003D3571">
      <w:pPr>
        <w:pStyle w:val="Bodytekst"/>
        <w:spacing w:after="0" w:line="360" w:lineRule="auto"/>
        <w:rPr>
          <w:sz w:val="24"/>
          <w:szCs w:val="24"/>
        </w:rPr>
      </w:pPr>
      <w:r w:rsidRPr="00FE7357">
        <w:rPr>
          <w:rFonts w:ascii="Times New Roman" w:hAnsi="Times New Roman" w:cs="Times New Roman"/>
          <w:sz w:val="24"/>
          <w:szCs w:val="24"/>
        </w:rPr>
        <w:t>W prezentowanej uchwale dokonano zmian w planie dochodów w związku z przygotowaniem projektu uchwały budżetowej na rok 201</w:t>
      </w:r>
      <w:r w:rsidR="007B0A29">
        <w:rPr>
          <w:rFonts w:ascii="Times New Roman" w:hAnsi="Times New Roman" w:cs="Times New Roman"/>
          <w:sz w:val="24"/>
          <w:szCs w:val="24"/>
        </w:rPr>
        <w:t>5</w:t>
      </w:r>
      <w:r w:rsidRPr="00FE7357">
        <w:rPr>
          <w:rFonts w:ascii="Times New Roman" w:hAnsi="Times New Roman" w:cs="Times New Roman"/>
          <w:sz w:val="24"/>
          <w:szCs w:val="24"/>
        </w:rPr>
        <w:t xml:space="preserve"> i koniecznością dostosowania ich poziomu do wielkości przyjętych w w/w uchwale.  Dochody zaplanowano na kwotę </w:t>
      </w:r>
      <w:r w:rsidR="007B0A29">
        <w:rPr>
          <w:rFonts w:ascii="Times New Roman" w:hAnsi="Times New Roman" w:cs="Times New Roman"/>
          <w:sz w:val="24"/>
          <w:szCs w:val="24"/>
        </w:rPr>
        <w:t>74.782.528</w:t>
      </w:r>
      <w:r w:rsidRPr="0091576C">
        <w:rPr>
          <w:rFonts w:ascii="Times New Roman" w:hAnsi="Times New Roman" w:cs="Times New Roman"/>
          <w:sz w:val="24"/>
          <w:szCs w:val="24"/>
        </w:rPr>
        <w:t xml:space="preserve"> </w:t>
      </w:r>
      <w:r w:rsidRPr="00FE7357">
        <w:rPr>
          <w:rFonts w:ascii="Times New Roman" w:hAnsi="Times New Roman" w:cs="Times New Roman"/>
          <w:sz w:val="24"/>
          <w:szCs w:val="24"/>
        </w:rPr>
        <w:t xml:space="preserve"> zł z tego dochody bieżące </w:t>
      </w:r>
      <w:r w:rsidR="00BA1061">
        <w:rPr>
          <w:rFonts w:ascii="Times New Roman" w:hAnsi="Times New Roman" w:cs="Times New Roman"/>
          <w:sz w:val="24"/>
          <w:szCs w:val="24"/>
        </w:rPr>
        <w:t xml:space="preserve">74.632.528 </w:t>
      </w:r>
      <w:r w:rsidRPr="00FE7357">
        <w:rPr>
          <w:rFonts w:ascii="Times New Roman" w:hAnsi="Times New Roman" w:cs="Times New Roman"/>
          <w:sz w:val="24"/>
          <w:szCs w:val="24"/>
        </w:rPr>
        <w:t>zł</w:t>
      </w:r>
      <w:r w:rsidR="00BA1061">
        <w:rPr>
          <w:rFonts w:ascii="Times New Roman" w:hAnsi="Times New Roman" w:cs="Times New Roman"/>
          <w:sz w:val="24"/>
          <w:szCs w:val="24"/>
        </w:rPr>
        <w:t>,</w:t>
      </w:r>
      <w:r w:rsidRPr="00FE7357">
        <w:rPr>
          <w:rFonts w:ascii="Times New Roman" w:hAnsi="Times New Roman" w:cs="Times New Roman"/>
          <w:sz w:val="24"/>
          <w:szCs w:val="24"/>
        </w:rPr>
        <w:t xml:space="preserve"> a dochody majątkowe </w:t>
      </w:r>
      <w:r w:rsidR="00BA1061">
        <w:rPr>
          <w:rFonts w:ascii="Times New Roman" w:hAnsi="Times New Roman" w:cs="Times New Roman"/>
          <w:sz w:val="24"/>
          <w:szCs w:val="24"/>
        </w:rPr>
        <w:t>150.000</w:t>
      </w:r>
      <w:r w:rsidRPr="0091576C">
        <w:rPr>
          <w:rFonts w:ascii="Times New Roman" w:hAnsi="Times New Roman" w:cs="Times New Roman"/>
          <w:sz w:val="24"/>
          <w:szCs w:val="24"/>
        </w:rPr>
        <w:t xml:space="preserve"> </w:t>
      </w:r>
      <w:r w:rsidRPr="00FE7357">
        <w:rPr>
          <w:rFonts w:ascii="Times New Roman" w:hAnsi="Times New Roman" w:cs="Times New Roman"/>
          <w:sz w:val="24"/>
          <w:szCs w:val="24"/>
        </w:rPr>
        <w:t>zł w</w:t>
      </w:r>
      <w:r w:rsidR="00BA1061">
        <w:rPr>
          <w:rFonts w:ascii="Times New Roman" w:hAnsi="Times New Roman" w:cs="Times New Roman"/>
          <w:sz w:val="24"/>
          <w:szCs w:val="24"/>
        </w:rPr>
        <w:t xml:space="preserve"> całości planowane do uzyskania ze </w:t>
      </w:r>
      <w:r w:rsidRPr="00FE7357">
        <w:rPr>
          <w:rFonts w:ascii="Times New Roman" w:hAnsi="Times New Roman" w:cs="Times New Roman"/>
          <w:sz w:val="24"/>
          <w:szCs w:val="24"/>
        </w:rPr>
        <w:t>sprzedaży majątku</w:t>
      </w:r>
      <w:r w:rsidR="00BA1061">
        <w:rPr>
          <w:rFonts w:ascii="Times New Roman" w:hAnsi="Times New Roman" w:cs="Times New Roman"/>
          <w:sz w:val="24"/>
          <w:szCs w:val="24"/>
        </w:rPr>
        <w:t>.</w:t>
      </w:r>
      <w:r w:rsidRPr="00FE7357">
        <w:rPr>
          <w:rFonts w:ascii="Times New Roman" w:hAnsi="Times New Roman" w:cs="Times New Roman"/>
          <w:sz w:val="24"/>
          <w:szCs w:val="24"/>
        </w:rPr>
        <w:t xml:space="preserve"> </w:t>
      </w:r>
      <w:r w:rsidR="00823E6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rognozę dochodów </w:t>
      </w:r>
      <w:r w:rsidR="00823E6B">
        <w:rPr>
          <w:rFonts w:ascii="Times New Roman" w:hAnsi="Times New Roman" w:cs="Times New Roman"/>
          <w:sz w:val="24"/>
          <w:szCs w:val="24"/>
        </w:rPr>
        <w:t xml:space="preserve">bieżących </w:t>
      </w:r>
      <w:r>
        <w:rPr>
          <w:rFonts w:ascii="Times New Roman" w:hAnsi="Times New Roman" w:cs="Times New Roman"/>
          <w:sz w:val="24"/>
          <w:szCs w:val="24"/>
        </w:rPr>
        <w:t xml:space="preserve">na lata przyszłe urealniono do wielkości wynikających </w:t>
      </w:r>
      <w:r w:rsidR="00CF254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danych historycznych i założono dynamikę wzrostu</w:t>
      </w:r>
      <w:r w:rsidR="00BA1061">
        <w:rPr>
          <w:rFonts w:ascii="Times New Roman" w:hAnsi="Times New Roman" w:cs="Times New Roman"/>
          <w:sz w:val="24"/>
          <w:szCs w:val="24"/>
        </w:rPr>
        <w:t xml:space="preserve"> dochodów bieżących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1061">
        <w:rPr>
          <w:rFonts w:ascii="Times New Roman" w:hAnsi="Times New Roman" w:cs="Times New Roman"/>
          <w:sz w:val="24"/>
          <w:szCs w:val="24"/>
        </w:rPr>
        <w:t xml:space="preserve">od 2016 roku </w:t>
      </w:r>
      <w:r>
        <w:rPr>
          <w:rFonts w:ascii="Times New Roman" w:hAnsi="Times New Roman" w:cs="Times New Roman"/>
          <w:sz w:val="24"/>
          <w:szCs w:val="24"/>
        </w:rPr>
        <w:t xml:space="preserve">na poziomie </w:t>
      </w:r>
      <w:r w:rsidR="00BA1061">
        <w:rPr>
          <w:rFonts w:ascii="Times New Roman" w:hAnsi="Times New Roman" w:cs="Times New Roman"/>
          <w:sz w:val="24"/>
          <w:szCs w:val="24"/>
        </w:rPr>
        <w:t>1,5</w:t>
      </w:r>
      <w:r>
        <w:rPr>
          <w:rFonts w:ascii="Times New Roman" w:hAnsi="Times New Roman" w:cs="Times New Roman"/>
          <w:sz w:val="24"/>
          <w:szCs w:val="24"/>
        </w:rPr>
        <w:t>%.</w:t>
      </w:r>
      <w:r w:rsidR="00BA1061" w:rsidRPr="00BA1061">
        <w:t xml:space="preserve"> </w:t>
      </w:r>
      <w:r w:rsidR="00BA1061" w:rsidRPr="00BA1061">
        <w:rPr>
          <w:sz w:val="24"/>
          <w:szCs w:val="24"/>
        </w:rPr>
        <w:t>W zakresie dochodów majątkowych wykazano w latach 201</w:t>
      </w:r>
      <w:r w:rsidR="00823E6B">
        <w:rPr>
          <w:sz w:val="24"/>
          <w:szCs w:val="24"/>
        </w:rPr>
        <w:t>6</w:t>
      </w:r>
      <w:r w:rsidR="00BA1061" w:rsidRPr="00BA1061">
        <w:rPr>
          <w:sz w:val="24"/>
          <w:szCs w:val="24"/>
        </w:rPr>
        <w:t>- 20</w:t>
      </w:r>
      <w:r w:rsidR="00823E6B">
        <w:rPr>
          <w:sz w:val="24"/>
          <w:szCs w:val="24"/>
        </w:rPr>
        <w:t>27</w:t>
      </w:r>
      <w:r w:rsidR="00BA1061" w:rsidRPr="00BA1061">
        <w:rPr>
          <w:sz w:val="24"/>
          <w:szCs w:val="24"/>
        </w:rPr>
        <w:t xml:space="preserve"> dochody </w:t>
      </w:r>
      <w:r w:rsidR="00CF254C">
        <w:rPr>
          <w:sz w:val="24"/>
          <w:szCs w:val="24"/>
        </w:rPr>
        <w:br/>
      </w:r>
      <w:r w:rsidR="00BA1061" w:rsidRPr="00BA1061">
        <w:rPr>
          <w:sz w:val="24"/>
          <w:szCs w:val="24"/>
        </w:rPr>
        <w:t>z tytułu</w:t>
      </w:r>
      <w:r w:rsidR="00823E6B">
        <w:rPr>
          <w:sz w:val="24"/>
          <w:szCs w:val="24"/>
        </w:rPr>
        <w:t xml:space="preserve"> ewentualnej sprzedaży majątku oraz planowanych do uzyskania </w:t>
      </w:r>
      <w:r w:rsidR="00BA1061" w:rsidRPr="00BA1061">
        <w:rPr>
          <w:sz w:val="24"/>
          <w:szCs w:val="24"/>
        </w:rPr>
        <w:t>dotacji na zadania inwestycyjne (</w:t>
      </w:r>
      <w:r w:rsidR="00823E6B">
        <w:rPr>
          <w:sz w:val="24"/>
          <w:szCs w:val="24"/>
        </w:rPr>
        <w:t>głównie na modernizację dróg powiatowych)</w:t>
      </w:r>
    </w:p>
    <w:p w:rsidR="00D83D2E" w:rsidRPr="00011964" w:rsidRDefault="00D83D2E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II. Wydatki budżetowe</w:t>
      </w:r>
    </w:p>
    <w:p w:rsidR="00C71274" w:rsidRDefault="00D83D2E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29F1">
        <w:rPr>
          <w:rFonts w:ascii="Times New Roman" w:hAnsi="Times New Roman" w:cs="Times New Roman"/>
          <w:sz w:val="24"/>
          <w:szCs w:val="24"/>
        </w:rPr>
        <w:t xml:space="preserve">Poziom wydatków został również dostosowany do </w:t>
      </w:r>
      <w:r w:rsidR="00A278FC">
        <w:rPr>
          <w:rFonts w:ascii="Times New Roman" w:hAnsi="Times New Roman" w:cs="Times New Roman"/>
          <w:sz w:val="24"/>
          <w:szCs w:val="24"/>
        </w:rPr>
        <w:t>p</w:t>
      </w:r>
      <w:r w:rsidRPr="002529F1">
        <w:rPr>
          <w:rFonts w:ascii="Times New Roman" w:hAnsi="Times New Roman" w:cs="Times New Roman"/>
          <w:sz w:val="24"/>
          <w:szCs w:val="24"/>
        </w:rPr>
        <w:t xml:space="preserve">rojektu </w:t>
      </w:r>
      <w:r w:rsidR="00A278FC">
        <w:rPr>
          <w:rFonts w:ascii="Times New Roman" w:hAnsi="Times New Roman" w:cs="Times New Roman"/>
          <w:sz w:val="24"/>
          <w:szCs w:val="24"/>
        </w:rPr>
        <w:t>u</w:t>
      </w:r>
      <w:r w:rsidRPr="002529F1">
        <w:rPr>
          <w:rFonts w:ascii="Times New Roman" w:hAnsi="Times New Roman" w:cs="Times New Roman"/>
          <w:sz w:val="24"/>
          <w:szCs w:val="24"/>
        </w:rPr>
        <w:t>chwały budżetowej na 201</w:t>
      </w:r>
      <w:r w:rsidR="00823E6B">
        <w:rPr>
          <w:rFonts w:ascii="Times New Roman" w:hAnsi="Times New Roman" w:cs="Times New Roman"/>
          <w:sz w:val="24"/>
          <w:szCs w:val="24"/>
        </w:rPr>
        <w:t>5</w:t>
      </w:r>
      <w:r w:rsidRPr="002529F1">
        <w:rPr>
          <w:rFonts w:ascii="Times New Roman" w:hAnsi="Times New Roman" w:cs="Times New Roman"/>
          <w:sz w:val="24"/>
          <w:szCs w:val="24"/>
        </w:rPr>
        <w:t xml:space="preserve"> rok i ich wysokość ogółem została ustalona na kwotę </w:t>
      </w:r>
      <w:r w:rsidRPr="00994F15">
        <w:rPr>
          <w:rFonts w:ascii="Times New Roman" w:hAnsi="Times New Roman" w:cs="Times New Roman"/>
          <w:sz w:val="24"/>
          <w:szCs w:val="24"/>
        </w:rPr>
        <w:t>7</w:t>
      </w:r>
      <w:r w:rsidR="00823E6B">
        <w:rPr>
          <w:rFonts w:ascii="Times New Roman" w:hAnsi="Times New Roman" w:cs="Times New Roman"/>
          <w:sz w:val="24"/>
          <w:szCs w:val="24"/>
        </w:rPr>
        <w:t>8.777.037</w:t>
      </w:r>
      <w:r w:rsidRPr="00994F15">
        <w:rPr>
          <w:rFonts w:ascii="Times New Roman" w:hAnsi="Times New Roman" w:cs="Times New Roman"/>
          <w:sz w:val="24"/>
          <w:szCs w:val="24"/>
        </w:rPr>
        <w:t xml:space="preserve"> </w:t>
      </w:r>
      <w:r w:rsidRPr="002529F1">
        <w:rPr>
          <w:rFonts w:ascii="Times New Roman" w:hAnsi="Times New Roman" w:cs="Times New Roman"/>
          <w:sz w:val="24"/>
          <w:szCs w:val="24"/>
        </w:rPr>
        <w:t xml:space="preserve">zł z tego wydatki bieżące na kwotę </w:t>
      </w:r>
      <w:r w:rsidR="00823E6B">
        <w:rPr>
          <w:rFonts w:ascii="Times New Roman" w:hAnsi="Times New Roman" w:cs="Times New Roman"/>
          <w:sz w:val="24"/>
          <w:szCs w:val="24"/>
        </w:rPr>
        <w:t>70.737.526</w:t>
      </w:r>
      <w:r w:rsidRPr="00994F15">
        <w:rPr>
          <w:rFonts w:ascii="Times New Roman" w:hAnsi="Times New Roman" w:cs="Times New Roman"/>
          <w:sz w:val="24"/>
          <w:szCs w:val="24"/>
        </w:rPr>
        <w:t xml:space="preserve"> </w:t>
      </w:r>
      <w:r w:rsidRPr="002529F1">
        <w:rPr>
          <w:rFonts w:ascii="Times New Roman" w:hAnsi="Times New Roman" w:cs="Times New Roman"/>
          <w:sz w:val="24"/>
          <w:szCs w:val="24"/>
        </w:rPr>
        <w:t xml:space="preserve">zł, </w:t>
      </w:r>
      <w:r w:rsidR="00823E6B">
        <w:rPr>
          <w:rFonts w:ascii="Times New Roman" w:hAnsi="Times New Roman" w:cs="Times New Roman"/>
          <w:sz w:val="24"/>
          <w:szCs w:val="24"/>
        </w:rPr>
        <w:t xml:space="preserve"> w tym </w:t>
      </w:r>
      <w:r w:rsidRPr="002529F1">
        <w:rPr>
          <w:rFonts w:ascii="Times New Roman" w:hAnsi="Times New Roman" w:cs="Times New Roman"/>
          <w:sz w:val="24"/>
          <w:szCs w:val="24"/>
        </w:rPr>
        <w:t>wydatki na obsługę dług</w:t>
      </w:r>
      <w:r w:rsidR="00823E6B">
        <w:rPr>
          <w:rFonts w:ascii="Times New Roman" w:hAnsi="Times New Roman" w:cs="Times New Roman"/>
          <w:sz w:val="24"/>
          <w:szCs w:val="24"/>
        </w:rPr>
        <w:t xml:space="preserve">u </w:t>
      </w:r>
      <w:r w:rsidR="00A278FC">
        <w:rPr>
          <w:rFonts w:ascii="Times New Roman" w:hAnsi="Times New Roman" w:cs="Times New Roman"/>
          <w:sz w:val="24"/>
          <w:szCs w:val="24"/>
        </w:rPr>
        <w:t>w kwocie</w:t>
      </w:r>
      <w:r w:rsidR="00823E6B">
        <w:rPr>
          <w:rFonts w:ascii="Times New Roman" w:hAnsi="Times New Roman" w:cs="Times New Roman"/>
          <w:sz w:val="24"/>
          <w:szCs w:val="24"/>
        </w:rPr>
        <w:t xml:space="preserve"> 1.446.953 </w:t>
      </w:r>
      <w:r w:rsidRPr="002529F1">
        <w:rPr>
          <w:rFonts w:ascii="Times New Roman" w:hAnsi="Times New Roman" w:cs="Times New Roman"/>
          <w:sz w:val="24"/>
          <w:szCs w:val="24"/>
        </w:rPr>
        <w:t>zł</w:t>
      </w:r>
      <w:r w:rsidR="00823E6B">
        <w:rPr>
          <w:rFonts w:ascii="Times New Roman" w:hAnsi="Times New Roman" w:cs="Times New Roman"/>
          <w:sz w:val="24"/>
          <w:szCs w:val="24"/>
        </w:rPr>
        <w:t>,</w:t>
      </w:r>
      <w:r w:rsidRPr="002529F1">
        <w:rPr>
          <w:rFonts w:ascii="Times New Roman" w:hAnsi="Times New Roman" w:cs="Times New Roman"/>
          <w:sz w:val="24"/>
          <w:szCs w:val="24"/>
        </w:rPr>
        <w:t xml:space="preserve"> a wydatki majątkowe na kwotę </w:t>
      </w:r>
      <w:r w:rsidR="00823E6B">
        <w:rPr>
          <w:rFonts w:ascii="Times New Roman" w:hAnsi="Times New Roman" w:cs="Times New Roman"/>
          <w:sz w:val="24"/>
          <w:szCs w:val="24"/>
        </w:rPr>
        <w:t>8.039.511</w:t>
      </w:r>
      <w:r w:rsidRPr="002529F1">
        <w:rPr>
          <w:rFonts w:ascii="Times New Roman" w:hAnsi="Times New Roman" w:cs="Times New Roman"/>
          <w:sz w:val="24"/>
          <w:szCs w:val="24"/>
        </w:rPr>
        <w:t>zł.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274" w:rsidRPr="00C71274">
        <w:rPr>
          <w:rFonts w:ascii="Times New Roman" w:hAnsi="Times New Roman" w:cs="Times New Roman"/>
          <w:sz w:val="24"/>
          <w:szCs w:val="24"/>
        </w:rPr>
        <w:t>Uśredniony wzrost wydatków bieżących w latach 201</w:t>
      </w:r>
      <w:r w:rsidR="00C71274">
        <w:rPr>
          <w:rFonts w:ascii="Times New Roman" w:hAnsi="Times New Roman" w:cs="Times New Roman"/>
          <w:sz w:val="24"/>
          <w:szCs w:val="24"/>
        </w:rPr>
        <w:t>6</w:t>
      </w:r>
      <w:r w:rsidR="00C71274" w:rsidRPr="00C71274">
        <w:rPr>
          <w:rFonts w:ascii="Times New Roman" w:hAnsi="Times New Roman" w:cs="Times New Roman"/>
          <w:sz w:val="24"/>
          <w:szCs w:val="24"/>
        </w:rPr>
        <w:t>-20</w:t>
      </w:r>
      <w:r w:rsidR="00C71274">
        <w:rPr>
          <w:rFonts w:ascii="Times New Roman" w:hAnsi="Times New Roman" w:cs="Times New Roman"/>
          <w:sz w:val="24"/>
          <w:szCs w:val="24"/>
        </w:rPr>
        <w:t>27</w:t>
      </w:r>
      <w:r w:rsidR="00C71274" w:rsidRPr="00C71274">
        <w:rPr>
          <w:rFonts w:ascii="Times New Roman" w:hAnsi="Times New Roman" w:cs="Times New Roman"/>
          <w:sz w:val="24"/>
          <w:szCs w:val="24"/>
        </w:rPr>
        <w:t xml:space="preserve"> kształtuje się na poziomie</w:t>
      </w:r>
      <w:r w:rsidR="00C71274">
        <w:rPr>
          <w:rFonts w:ascii="Times New Roman" w:hAnsi="Times New Roman" w:cs="Times New Roman"/>
          <w:sz w:val="24"/>
          <w:szCs w:val="24"/>
        </w:rPr>
        <w:t xml:space="preserve"> 1,8</w:t>
      </w:r>
      <w:r w:rsidR="00C71274" w:rsidRPr="00C71274">
        <w:rPr>
          <w:rFonts w:ascii="Times New Roman" w:hAnsi="Times New Roman" w:cs="Times New Roman"/>
          <w:sz w:val="24"/>
          <w:szCs w:val="24"/>
        </w:rPr>
        <w:t>%. Jest to uzasadnione i powiązane z prognozowaną przez Ministerstwo Finansów inflacją. Ogólnie rzecz</w:t>
      </w:r>
      <w:r w:rsidR="00C71274">
        <w:rPr>
          <w:rFonts w:ascii="Times New Roman" w:hAnsi="Times New Roman" w:cs="Times New Roman"/>
          <w:sz w:val="24"/>
          <w:szCs w:val="24"/>
        </w:rPr>
        <w:t xml:space="preserve"> </w:t>
      </w:r>
      <w:r w:rsidR="00C71274" w:rsidRPr="00C71274">
        <w:rPr>
          <w:rFonts w:ascii="Times New Roman" w:hAnsi="Times New Roman" w:cs="Times New Roman"/>
          <w:sz w:val="24"/>
          <w:szCs w:val="24"/>
        </w:rPr>
        <w:t>ujmując, inflacja dotyczy wzrostu cen towarów i usług, w związku z tym istotnie wpływa na poziom wydatków, a</w:t>
      </w:r>
      <w:r w:rsidR="00C71274">
        <w:rPr>
          <w:rFonts w:ascii="Times New Roman" w:hAnsi="Times New Roman" w:cs="Times New Roman"/>
          <w:sz w:val="24"/>
          <w:szCs w:val="24"/>
        </w:rPr>
        <w:t xml:space="preserve"> </w:t>
      </w:r>
      <w:r w:rsidR="00C71274" w:rsidRPr="00C71274">
        <w:rPr>
          <w:rFonts w:ascii="Times New Roman" w:hAnsi="Times New Roman" w:cs="Times New Roman"/>
          <w:sz w:val="24"/>
          <w:szCs w:val="24"/>
        </w:rPr>
        <w:t>to z kolei powoduje, iż należy prognozować wzrost wydatków we wszystkich latach objętych WPF.</w:t>
      </w:r>
    </w:p>
    <w:p w:rsidR="00D83D2E" w:rsidRDefault="00823E6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3E6B">
        <w:rPr>
          <w:sz w:val="24"/>
          <w:szCs w:val="24"/>
        </w:rPr>
        <w:lastRenderedPageBreak/>
        <w:t>Pozycja „Wydatki związane z funkcjonowaniem organów jst.” obejmuje wydatki</w:t>
      </w:r>
      <w:r>
        <w:rPr>
          <w:sz w:val="24"/>
          <w:szCs w:val="24"/>
        </w:rPr>
        <w:t xml:space="preserve"> </w:t>
      </w:r>
      <w:r w:rsidRPr="00823E6B">
        <w:rPr>
          <w:sz w:val="24"/>
          <w:szCs w:val="24"/>
        </w:rPr>
        <w:t>planowane w rozdziale 750</w:t>
      </w:r>
      <w:r>
        <w:rPr>
          <w:sz w:val="24"/>
          <w:szCs w:val="24"/>
        </w:rPr>
        <w:t>19</w:t>
      </w:r>
      <w:r w:rsidRPr="00823E6B">
        <w:rPr>
          <w:sz w:val="24"/>
          <w:szCs w:val="24"/>
        </w:rPr>
        <w:t xml:space="preserve"> „Rady </w:t>
      </w:r>
      <w:r>
        <w:rPr>
          <w:sz w:val="24"/>
          <w:szCs w:val="24"/>
        </w:rPr>
        <w:t>powiatów</w:t>
      </w:r>
      <w:r w:rsidRPr="00823E6B">
        <w:rPr>
          <w:sz w:val="24"/>
          <w:szCs w:val="24"/>
        </w:rPr>
        <w:t>” – oraz wydatki planowane w rozdziale 7502</w:t>
      </w:r>
      <w:r>
        <w:rPr>
          <w:sz w:val="24"/>
          <w:szCs w:val="24"/>
        </w:rPr>
        <w:t xml:space="preserve">0 </w:t>
      </w:r>
      <w:r w:rsidRPr="00823E6B">
        <w:rPr>
          <w:sz w:val="24"/>
          <w:szCs w:val="24"/>
        </w:rPr>
        <w:t>„</w:t>
      </w:r>
      <w:r w:rsidR="00417E23">
        <w:rPr>
          <w:sz w:val="24"/>
          <w:szCs w:val="24"/>
        </w:rPr>
        <w:t>Starostwa powiatowe".</w:t>
      </w:r>
    </w:p>
    <w:p w:rsidR="00D83D2E" w:rsidRPr="00011964" w:rsidRDefault="00D83D2E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III. Przychody</w:t>
      </w:r>
    </w:p>
    <w:p w:rsidR="000C7D41" w:rsidRPr="000C7D41" w:rsidRDefault="00D83D2E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29F1">
        <w:rPr>
          <w:rFonts w:ascii="Times New Roman" w:hAnsi="Times New Roman" w:cs="Times New Roman"/>
          <w:sz w:val="24"/>
          <w:szCs w:val="24"/>
        </w:rPr>
        <w:t>W załączniku Nr 1 do prezentowanej uchwały</w:t>
      </w:r>
      <w:r>
        <w:rPr>
          <w:rFonts w:ascii="Times New Roman" w:hAnsi="Times New Roman" w:cs="Times New Roman"/>
          <w:sz w:val="24"/>
          <w:szCs w:val="24"/>
        </w:rPr>
        <w:t xml:space="preserve"> w stosunku do poprzedniej prognozy uległa zmianie</w:t>
      </w:r>
      <w:r w:rsidRPr="00252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94F15">
        <w:rPr>
          <w:rFonts w:ascii="Times New Roman" w:hAnsi="Times New Roman" w:cs="Times New Roman"/>
          <w:sz w:val="24"/>
          <w:szCs w:val="24"/>
        </w:rPr>
        <w:t xml:space="preserve">ota </w:t>
      </w:r>
      <w:r w:rsidR="00417E23">
        <w:rPr>
          <w:rFonts w:ascii="Times New Roman" w:hAnsi="Times New Roman" w:cs="Times New Roman"/>
          <w:sz w:val="24"/>
          <w:szCs w:val="24"/>
        </w:rPr>
        <w:t>przychodów</w:t>
      </w:r>
      <w:r w:rsidR="00C7127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Powyższe jest następstwem planowane</w:t>
      </w:r>
      <w:r w:rsidR="00417E23">
        <w:rPr>
          <w:rFonts w:ascii="Times New Roman" w:hAnsi="Times New Roman" w:cs="Times New Roman"/>
          <w:sz w:val="24"/>
          <w:szCs w:val="24"/>
        </w:rPr>
        <w:t>go do zaciągnięcia w 2015 roku kredytu</w:t>
      </w:r>
      <w:r w:rsidR="00C71274">
        <w:rPr>
          <w:rFonts w:ascii="Times New Roman" w:hAnsi="Times New Roman" w:cs="Times New Roman"/>
          <w:sz w:val="24"/>
          <w:szCs w:val="24"/>
        </w:rPr>
        <w:t xml:space="preserve"> w wysokości 4.000.000 zł przeznaczonego</w:t>
      </w:r>
      <w:r w:rsidR="00F23310">
        <w:rPr>
          <w:rFonts w:ascii="Times New Roman" w:hAnsi="Times New Roman" w:cs="Times New Roman"/>
          <w:sz w:val="24"/>
          <w:szCs w:val="24"/>
        </w:rPr>
        <w:t xml:space="preserve"> na pokrycie deficytu na wydatkach </w:t>
      </w:r>
      <w:r w:rsidR="00C71274">
        <w:rPr>
          <w:rFonts w:ascii="Times New Roman" w:hAnsi="Times New Roman" w:cs="Times New Roman"/>
          <w:sz w:val="24"/>
          <w:szCs w:val="24"/>
        </w:rPr>
        <w:t xml:space="preserve">inwestycyjnych. Spłata tego kredytu będzie następowała z dochodów bieżących Powiatu w </w:t>
      </w:r>
      <w:r w:rsidR="000C7D41">
        <w:rPr>
          <w:rFonts w:ascii="Times New Roman" w:hAnsi="Times New Roman" w:cs="Times New Roman"/>
          <w:sz w:val="24"/>
          <w:szCs w:val="24"/>
        </w:rPr>
        <w:t xml:space="preserve">okresie od </w:t>
      </w:r>
      <w:r w:rsidR="00C71274">
        <w:rPr>
          <w:rFonts w:ascii="Times New Roman" w:hAnsi="Times New Roman" w:cs="Times New Roman"/>
          <w:sz w:val="24"/>
          <w:szCs w:val="24"/>
        </w:rPr>
        <w:t>2016</w:t>
      </w:r>
      <w:r w:rsidR="000C7D41">
        <w:rPr>
          <w:rFonts w:ascii="Times New Roman" w:hAnsi="Times New Roman" w:cs="Times New Roman"/>
          <w:sz w:val="24"/>
          <w:szCs w:val="24"/>
        </w:rPr>
        <w:t xml:space="preserve"> r.</w:t>
      </w:r>
      <w:r w:rsidR="00C71274">
        <w:rPr>
          <w:rFonts w:ascii="Times New Roman" w:hAnsi="Times New Roman" w:cs="Times New Roman"/>
          <w:sz w:val="24"/>
          <w:szCs w:val="24"/>
        </w:rPr>
        <w:t xml:space="preserve"> </w:t>
      </w:r>
      <w:r w:rsidR="000C7D41">
        <w:rPr>
          <w:rFonts w:ascii="Times New Roman" w:hAnsi="Times New Roman" w:cs="Times New Roman"/>
          <w:sz w:val="24"/>
          <w:szCs w:val="24"/>
        </w:rPr>
        <w:t>do</w:t>
      </w:r>
      <w:r w:rsidR="00C71274">
        <w:rPr>
          <w:rFonts w:ascii="Times New Roman" w:hAnsi="Times New Roman" w:cs="Times New Roman"/>
          <w:sz w:val="24"/>
          <w:szCs w:val="24"/>
        </w:rPr>
        <w:t xml:space="preserve"> 2020</w:t>
      </w:r>
      <w:r w:rsidR="000C7D41">
        <w:rPr>
          <w:rFonts w:ascii="Times New Roman" w:hAnsi="Times New Roman" w:cs="Times New Roman"/>
          <w:sz w:val="24"/>
          <w:szCs w:val="24"/>
        </w:rPr>
        <w:t xml:space="preserve"> r. </w:t>
      </w:r>
      <w:r w:rsidR="000C7D41" w:rsidRPr="000C7D41">
        <w:rPr>
          <w:rFonts w:ascii="Times New Roman" w:hAnsi="Times New Roman" w:cs="Times New Roman"/>
          <w:sz w:val="24"/>
          <w:szCs w:val="24"/>
        </w:rPr>
        <w:t xml:space="preserve">Ponadto po stronie przychodów w 2015 </w:t>
      </w:r>
      <w:r w:rsidR="004422C0" w:rsidRPr="000C7D41">
        <w:rPr>
          <w:rFonts w:ascii="Times New Roman" w:hAnsi="Times New Roman" w:cs="Times New Roman"/>
          <w:sz w:val="24"/>
          <w:szCs w:val="24"/>
        </w:rPr>
        <w:t>roku, jako</w:t>
      </w:r>
      <w:r w:rsidR="000C7D41" w:rsidRPr="000C7D41">
        <w:rPr>
          <w:rFonts w:ascii="Times New Roman" w:hAnsi="Times New Roman" w:cs="Times New Roman"/>
          <w:sz w:val="24"/>
          <w:szCs w:val="24"/>
        </w:rPr>
        <w:t xml:space="preserve"> uzupełniające źródło finansowania inwestycji </w:t>
      </w:r>
      <w:r w:rsidR="00647D16" w:rsidRPr="000C7D41">
        <w:rPr>
          <w:rFonts w:ascii="Times New Roman" w:hAnsi="Times New Roman" w:cs="Times New Roman"/>
          <w:sz w:val="24"/>
          <w:szCs w:val="24"/>
        </w:rPr>
        <w:t>zaplanowano</w:t>
      </w:r>
      <w:r w:rsidR="00647D16" w:rsidRPr="00647D16">
        <w:t xml:space="preserve"> </w:t>
      </w:r>
      <w:r w:rsidR="00647D16">
        <w:t xml:space="preserve">kwotę </w:t>
      </w:r>
      <w:r w:rsidR="00647D16" w:rsidRPr="004422C0">
        <w:rPr>
          <w:rFonts w:ascii="Times New Roman" w:hAnsi="Times New Roman" w:cs="Times New Roman"/>
          <w:sz w:val="24"/>
          <w:szCs w:val="24"/>
        </w:rPr>
        <w:t>839.511 zł</w:t>
      </w:r>
      <w:r w:rsidR="00647D16">
        <w:t xml:space="preserve"> </w:t>
      </w:r>
      <w:r w:rsidR="00647D16" w:rsidRPr="00647D16">
        <w:rPr>
          <w:rFonts w:ascii="Times New Roman" w:hAnsi="Times New Roman" w:cs="Times New Roman"/>
          <w:sz w:val="24"/>
          <w:szCs w:val="24"/>
        </w:rPr>
        <w:t>pochodząc</w:t>
      </w:r>
      <w:r w:rsidR="00647D16">
        <w:rPr>
          <w:rFonts w:ascii="Times New Roman" w:hAnsi="Times New Roman" w:cs="Times New Roman"/>
          <w:sz w:val="24"/>
          <w:szCs w:val="24"/>
        </w:rPr>
        <w:t>ą</w:t>
      </w:r>
      <w:r w:rsidR="00647D16" w:rsidRPr="00647D16">
        <w:rPr>
          <w:rFonts w:ascii="Times New Roman" w:hAnsi="Times New Roman" w:cs="Times New Roman"/>
          <w:sz w:val="24"/>
          <w:szCs w:val="24"/>
        </w:rPr>
        <w:t xml:space="preserve"> z wolnych środków, jako nadwyżki środków pieniężnych na rachunku bieżącym budżetu, wynikając</w:t>
      </w:r>
      <w:r w:rsidR="004422C0">
        <w:rPr>
          <w:rFonts w:ascii="Times New Roman" w:hAnsi="Times New Roman" w:cs="Times New Roman"/>
          <w:sz w:val="24"/>
          <w:szCs w:val="24"/>
        </w:rPr>
        <w:t>ą</w:t>
      </w:r>
      <w:r w:rsidR="00647D16" w:rsidRPr="00647D16">
        <w:rPr>
          <w:rFonts w:ascii="Times New Roman" w:hAnsi="Times New Roman" w:cs="Times New Roman"/>
          <w:sz w:val="24"/>
          <w:szCs w:val="24"/>
        </w:rPr>
        <w:t xml:space="preserve"> z rozliczeń z lat ubiegłych</w:t>
      </w:r>
      <w:r w:rsidR="004422C0">
        <w:rPr>
          <w:rFonts w:ascii="Times New Roman" w:hAnsi="Times New Roman" w:cs="Times New Roman"/>
          <w:sz w:val="24"/>
          <w:szCs w:val="24"/>
        </w:rPr>
        <w:t>.</w:t>
      </w:r>
    </w:p>
    <w:p w:rsidR="000C7D41" w:rsidRPr="00011964" w:rsidRDefault="000C7D41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</w:t>
      </w:r>
      <w:r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V</w:t>
      </w: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 xml:space="preserve">. </w:t>
      </w:r>
      <w:r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Rozchody</w:t>
      </w:r>
      <w:r w:rsidR="00D15B21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 xml:space="preserve"> i zadłużenie powiatu</w:t>
      </w:r>
    </w:p>
    <w:p w:rsidR="004422C0" w:rsidRPr="004422C0" w:rsidRDefault="004422C0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2C0">
        <w:rPr>
          <w:rFonts w:ascii="Times New Roman" w:hAnsi="Times New Roman" w:cs="Times New Roman"/>
          <w:sz w:val="24"/>
          <w:szCs w:val="24"/>
        </w:rPr>
        <w:t xml:space="preserve">Po stronie rozchodów w prognozowanym okresie przyjęto przepływy związane ze spłatą rat </w:t>
      </w:r>
      <w:r w:rsidR="00BA4749" w:rsidRPr="004422C0">
        <w:rPr>
          <w:rFonts w:ascii="Times New Roman" w:hAnsi="Times New Roman" w:cs="Times New Roman"/>
          <w:sz w:val="24"/>
          <w:szCs w:val="24"/>
        </w:rPr>
        <w:t>kapitałowych</w:t>
      </w:r>
      <w:r w:rsidR="00BA4749">
        <w:rPr>
          <w:rFonts w:ascii="Times New Roman" w:hAnsi="Times New Roman" w:cs="Times New Roman"/>
          <w:sz w:val="24"/>
          <w:szCs w:val="24"/>
        </w:rPr>
        <w:t xml:space="preserve"> od </w:t>
      </w:r>
      <w:r w:rsidRPr="004422C0">
        <w:rPr>
          <w:rFonts w:ascii="Times New Roman" w:hAnsi="Times New Roman" w:cs="Times New Roman"/>
          <w:sz w:val="24"/>
          <w:szCs w:val="24"/>
        </w:rPr>
        <w:t xml:space="preserve">zaciągniętych kredytów i </w:t>
      </w:r>
      <w:r>
        <w:rPr>
          <w:rFonts w:ascii="Times New Roman" w:hAnsi="Times New Roman" w:cs="Times New Roman"/>
          <w:sz w:val="24"/>
          <w:szCs w:val="24"/>
        </w:rPr>
        <w:t>obligacji</w:t>
      </w:r>
      <w:r w:rsidRPr="004422C0">
        <w:rPr>
          <w:rFonts w:ascii="Times New Roman" w:hAnsi="Times New Roman" w:cs="Times New Roman"/>
          <w:sz w:val="24"/>
          <w:szCs w:val="24"/>
        </w:rPr>
        <w:t>. Spłatę ostatnich rat kapitałowych zaplanowano na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422C0">
        <w:rPr>
          <w:rFonts w:ascii="Times New Roman" w:hAnsi="Times New Roman" w:cs="Times New Roman"/>
          <w:sz w:val="24"/>
          <w:szCs w:val="24"/>
        </w:rPr>
        <w:t>r. Kwota zadłużenia na koniec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422C0">
        <w:rPr>
          <w:rFonts w:ascii="Times New Roman" w:hAnsi="Times New Roman" w:cs="Times New Roman"/>
          <w:sz w:val="24"/>
          <w:szCs w:val="24"/>
        </w:rPr>
        <w:t xml:space="preserve"> roku wyniesie </w:t>
      </w:r>
      <w:r w:rsidR="00BA4749">
        <w:rPr>
          <w:rFonts w:ascii="Times New Roman" w:hAnsi="Times New Roman" w:cs="Times New Roman"/>
          <w:sz w:val="24"/>
          <w:szCs w:val="24"/>
        </w:rPr>
        <w:t>24.755.734</w:t>
      </w:r>
      <w:r w:rsidRPr="004422C0">
        <w:rPr>
          <w:rFonts w:ascii="Times New Roman" w:hAnsi="Times New Roman" w:cs="Times New Roman"/>
          <w:sz w:val="24"/>
          <w:szCs w:val="24"/>
        </w:rPr>
        <w:t xml:space="preserve"> zł. Planowane zadłużenie na koniec 201</w:t>
      </w:r>
      <w:r w:rsidR="00BA4749">
        <w:rPr>
          <w:rFonts w:ascii="Times New Roman" w:hAnsi="Times New Roman" w:cs="Times New Roman"/>
          <w:sz w:val="24"/>
          <w:szCs w:val="24"/>
        </w:rPr>
        <w:t>5</w:t>
      </w:r>
      <w:r w:rsidRPr="004422C0">
        <w:rPr>
          <w:rFonts w:ascii="Times New Roman" w:hAnsi="Times New Roman" w:cs="Times New Roman"/>
          <w:sz w:val="24"/>
          <w:szCs w:val="24"/>
        </w:rPr>
        <w:t xml:space="preserve"> roku wyniesie </w:t>
      </w:r>
      <w:r w:rsidR="00BA4749">
        <w:rPr>
          <w:rFonts w:ascii="Times New Roman" w:hAnsi="Times New Roman" w:cs="Times New Roman"/>
          <w:sz w:val="24"/>
          <w:szCs w:val="24"/>
        </w:rPr>
        <w:t>27.725.020</w:t>
      </w:r>
      <w:r w:rsidRPr="004422C0">
        <w:rPr>
          <w:rFonts w:ascii="Times New Roman" w:hAnsi="Times New Roman" w:cs="Times New Roman"/>
          <w:sz w:val="24"/>
          <w:szCs w:val="24"/>
        </w:rPr>
        <w:t xml:space="preserve"> zł.</w:t>
      </w:r>
      <w:r w:rsidR="00BA4749">
        <w:rPr>
          <w:rFonts w:ascii="Times New Roman" w:hAnsi="Times New Roman" w:cs="Times New Roman"/>
          <w:sz w:val="24"/>
          <w:szCs w:val="24"/>
        </w:rPr>
        <w:t xml:space="preserve"> </w:t>
      </w:r>
      <w:r w:rsidRPr="004422C0">
        <w:rPr>
          <w:rFonts w:ascii="Times New Roman" w:hAnsi="Times New Roman" w:cs="Times New Roman"/>
          <w:sz w:val="24"/>
          <w:szCs w:val="24"/>
        </w:rPr>
        <w:t xml:space="preserve">Rozchody z tytułu spłaty rat kapitałowych zaciągniętych kredytów i </w:t>
      </w:r>
      <w:r w:rsidR="00BA4749">
        <w:rPr>
          <w:rFonts w:ascii="Times New Roman" w:hAnsi="Times New Roman" w:cs="Times New Roman"/>
          <w:sz w:val="24"/>
          <w:szCs w:val="24"/>
        </w:rPr>
        <w:t>obligacji</w:t>
      </w:r>
      <w:r w:rsidRPr="004422C0">
        <w:rPr>
          <w:rFonts w:ascii="Times New Roman" w:hAnsi="Times New Roman" w:cs="Times New Roman"/>
          <w:sz w:val="24"/>
          <w:szCs w:val="24"/>
        </w:rPr>
        <w:t xml:space="preserve"> zostały ujęte w Wieloletniej</w:t>
      </w:r>
      <w:r w:rsidR="00BA4749">
        <w:rPr>
          <w:rFonts w:ascii="Times New Roman" w:hAnsi="Times New Roman" w:cs="Times New Roman"/>
          <w:sz w:val="24"/>
          <w:szCs w:val="24"/>
        </w:rPr>
        <w:t xml:space="preserve"> </w:t>
      </w:r>
      <w:r w:rsidRPr="004422C0">
        <w:rPr>
          <w:rFonts w:ascii="Times New Roman" w:hAnsi="Times New Roman" w:cs="Times New Roman"/>
          <w:sz w:val="24"/>
          <w:szCs w:val="24"/>
        </w:rPr>
        <w:t>Prognozie Finansowej na podstawie zawartych umów</w:t>
      </w:r>
      <w:r w:rsidR="00BA4749">
        <w:rPr>
          <w:rFonts w:ascii="Times New Roman" w:hAnsi="Times New Roman" w:cs="Times New Roman"/>
          <w:sz w:val="24"/>
          <w:szCs w:val="24"/>
        </w:rPr>
        <w:t xml:space="preserve"> oraz na podstawie prognozowanego do zaciągnięcia kredytu</w:t>
      </w:r>
      <w:r w:rsidRPr="004422C0">
        <w:rPr>
          <w:rFonts w:ascii="Times New Roman" w:hAnsi="Times New Roman" w:cs="Times New Roman"/>
          <w:sz w:val="24"/>
          <w:szCs w:val="24"/>
        </w:rPr>
        <w:t>.</w:t>
      </w:r>
    </w:p>
    <w:p w:rsidR="004422C0" w:rsidRDefault="004422C0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2C0">
        <w:rPr>
          <w:rFonts w:ascii="Times New Roman" w:hAnsi="Times New Roman" w:cs="Times New Roman"/>
          <w:sz w:val="24"/>
          <w:szCs w:val="24"/>
        </w:rPr>
        <w:t>Szczegółowe zestawienie kwoty długu oraz spłaty rat kapitałowych w poszczególnych latach zawiera</w:t>
      </w:r>
      <w:r w:rsidR="00BA4749">
        <w:rPr>
          <w:rFonts w:ascii="Times New Roman" w:hAnsi="Times New Roman" w:cs="Times New Roman"/>
          <w:sz w:val="24"/>
          <w:szCs w:val="24"/>
        </w:rPr>
        <w:t xml:space="preserve"> poniższa tabela:</w:t>
      </w:r>
    </w:p>
    <w:p w:rsidR="00BA4749" w:rsidRDefault="00BA4749" w:rsidP="003D3571">
      <w:r w:rsidRPr="00BA4749">
        <w:rPr>
          <w:noProof/>
        </w:rPr>
        <w:drawing>
          <wp:inline distT="0" distB="0" distL="0" distR="0" wp14:anchorId="221E02BA" wp14:editId="745B5AAE">
            <wp:extent cx="5259705" cy="287464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749" w:rsidRDefault="00BA4749" w:rsidP="003D3571"/>
    <w:p w:rsidR="00BA4749" w:rsidRPr="00BA4749" w:rsidRDefault="00BA4749" w:rsidP="003D3571"/>
    <w:p w:rsidR="00F679BB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BB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BB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D2E" w:rsidRPr="002854D6" w:rsidRDefault="00011964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="00D83D2E" w:rsidRPr="002854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79BB">
        <w:rPr>
          <w:rFonts w:ascii="Times New Roman" w:hAnsi="Times New Roman" w:cs="Times New Roman"/>
          <w:b/>
          <w:sz w:val="24"/>
          <w:szCs w:val="24"/>
        </w:rPr>
        <w:t xml:space="preserve">Wynik budżetu </w:t>
      </w:r>
    </w:p>
    <w:p w:rsid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sz w:val="24"/>
          <w:szCs w:val="24"/>
        </w:rPr>
        <w:t>Wynik budżetu w prognozowanym okresie jest ściśle powiązany z przyjętymi założ</w:t>
      </w:r>
      <w:r>
        <w:rPr>
          <w:sz w:val="24"/>
          <w:szCs w:val="24"/>
        </w:rPr>
        <w:t xml:space="preserve">eniami do prognozy </w:t>
      </w:r>
      <w:r w:rsidRPr="00F679BB">
        <w:rPr>
          <w:sz w:val="24"/>
          <w:szCs w:val="24"/>
        </w:rPr>
        <w:t>dochodów i wydatków. Wynik z działalności operacyjnej jest pozycją istotną w zwią</w:t>
      </w:r>
      <w:r>
        <w:rPr>
          <w:sz w:val="24"/>
          <w:szCs w:val="24"/>
        </w:rPr>
        <w:t xml:space="preserve">zku z art. 242 Ustawy </w:t>
      </w:r>
      <w:r w:rsidRPr="00F679BB">
        <w:rPr>
          <w:sz w:val="24"/>
          <w:szCs w:val="24"/>
        </w:rPr>
        <w:t xml:space="preserve">o finansach publicznych (Dz. U. z 2013, poz. 885 ze zm.) – </w:t>
      </w:r>
      <w:r w:rsidRPr="00F679BB">
        <w:rPr>
          <w:b/>
          <w:sz w:val="24"/>
          <w:szCs w:val="24"/>
        </w:rPr>
        <w:t xml:space="preserve">organ stanowiący jednostki samorządu terytorialnego nie może uchwalić budżetu, w którym planowane wydatki bieżące są wyższe niż planowane dochody bieżące powiększone o nadwyżkę budżetową z lat ubiegłych i wolne środki. </w:t>
      </w:r>
      <w:r w:rsidRPr="00F679BB">
        <w:rPr>
          <w:sz w:val="24"/>
          <w:szCs w:val="24"/>
        </w:rPr>
        <w:t>W prognozowanym okresie nie ma</w:t>
      </w:r>
      <w:r>
        <w:rPr>
          <w:sz w:val="24"/>
          <w:szCs w:val="24"/>
        </w:rPr>
        <w:t xml:space="preserve"> </w:t>
      </w:r>
      <w:r w:rsidRPr="00F679BB">
        <w:rPr>
          <w:sz w:val="24"/>
          <w:szCs w:val="24"/>
        </w:rPr>
        <w:t>zagrożenia naruszenia powyższej relacji. Planowana nadwyżka w latach prognozowanych zostanie przeznaczona</w:t>
      </w:r>
      <w:r>
        <w:rPr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na spłatę zobowiązań z tytułu zaciągniętych kredytów lub </w:t>
      </w:r>
      <w:r>
        <w:rPr>
          <w:rFonts w:ascii="Times New Roman" w:hAnsi="Times New Roman" w:cs="Times New Roman"/>
          <w:sz w:val="24"/>
          <w:szCs w:val="24"/>
        </w:rPr>
        <w:t>obligacji</w:t>
      </w:r>
      <w:r w:rsidRPr="00F679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254C" w:rsidRDefault="00CF254C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BB" w:rsidRPr="002854D6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Pr="002854D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Przedsięwzięcia </w:t>
      </w:r>
    </w:p>
    <w:p w:rsidR="00F679BB" w:rsidRP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>Przedsięwzięcia zostały zaplanowane do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79BB">
        <w:rPr>
          <w:rFonts w:ascii="Times New Roman" w:hAnsi="Times New Roman" w:cs="Times New Roman"/>
          <w:sz w:val="24"/>
          <w:szCs w:val="24"/>
        </w:rPr>
        <w:t xml:space="preserve"> roku i obejmują projekty realizowane przy udziale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>europejskich oraz pozostałe zadania zaliczane do wieloletnich przedsięwzięć.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Łączne nakłady </w:t>
      </w:r>
      <w:r w:rsidR="00DD79AC" w:rsidRPr="00F679BB">
        <w:rPr>
          <w:rFonts w:ascii="Times New Roman" w:hAnsi="Times New Roman" w:cs="Times New Roman"/>
          <w:sz w:val="24"/>
          <w:szCs w:val="24"/>
        </w:rPr>
        <w:t xml:space="preserve">finansowe </w:t>
      </w:r>
      <w:r w:rsidR="00DD79AC">
        <w:rPr>
          <w:rFonts w:ascii="Times New Roman" w:hAnsi="Times New Roman" w:cs="Times New Roman"/>
          <w:sz w:val="24"/>
          <w:szCs w:val="24"/>
        </w:rPr>
        <w:t>na przedsięwzięcia w okresie od 2008 r. do 20</w:t>
      </w:r>
      <w:r w:rsidR="008B7101">
        <w:rPr>
          <w:rFonts w:ascii="Times New Roman" w:hAnsi="Times New Roman" w:cs="Times New Roman"/>
          <w:sz w:val="24"/>
          <w:szCs w:val="24"/>
        </w:rPr>
        <w:t>20</w:t>
      </w:r>
      <w:r w:rsidR="00DD79AC">
        <w:rPr>
          <w:rFonts w:ascii="Times New Roman" w:hAnsi="Times New Roman" w:cs="Times New Roman"/>
          <w:sz w:val="24"/>
          <w:szCs w:val="24"/>
        </w:rPr>
        <w:t xml:space="preserve"> r. </w:t>
      </w:r>
      <w:r w:rsidRPr="00F679BB">
        <w:rPr>
          <w:rFonts w:ascii="Times New Roman" w:hAnsi="Times New Roman" w:cs="Times New Roman"/>
          <w:sz w:val="24"/>
          <w:szCs w:val="24"/>
        </w:rPr>
        <w:t xml:space="preserve">wyniosą </w:t>
      </w:r>
      <w:r w:rsidR="00DD79AC">
        <w:rPr>
          <w:rFonts w:ascii="Times New Roman" w:hAnsi="Times New Roman" w:cs="Times New Roman"/>
          <w:sz w:val="24"/>
          <w:szCs w:val="24"/>
        </w:rPr>
        <w:t>40.916.075 zł,</w:t>
      </w:r>
      <w:r w:rsidRPr="00F679BB">
        <w:rPr>
          <w:rFonts w:ascii="Times New Roman" w:hAnsi="Times New Roman" w:cs="Times New Roman"/>
          <w:sz w:val="24"/>
          <w:szCs w:val="24"/>
        </w:rPr>
        <w:t xml:space="preserve"> </w:t>
      </w:r>
      <w:r w:rsidR="00DD79AC">
        <w:rPr>
          <w:rFonts w:ascii="Times New Roman" w:hAnsi="Times New Roman" w:cs="Times New Roman"/>
          <w:sz w:val="24"/>
          <w:szCs w:val="24"/>
        </w:rPr>
        <w:br/>
      </w:r>
      <w:r w:rsidRPr="00F679BB">
        <w:rPr>
          <w:rFonts w:ascii="Times New Roman" w:hAnsi="Times New Roman" w:cs="Times New Roman"/>
          <w:sz w:val="24"/>
          <w:szCs w:val="24"/>
        </w:rPr>
        <w:t>z tego w: 201</w:t>
      </w:r>
      <w:r w:rsidR="00DD79AC">
        <w:rPr>
          <w:rFonts w:ascii="Times New Roman" w:hAnsi="Times New Roman" w:cs="Times New Roman"/>
          <w:sz w:val="24"/>
          <w:szCs w:val="24"/>
        </w:rPr>
        <w:t xml:space="preserve">5 </w:t>
      </w:r>
      <w:r w:rsidRPr="00F679BB">
        <w:rPr>
          <w:rFonts w:ascii="Times New Roman" w:hAnsi="Times New Roman" w:cs="Times New Roman"/>
          <w:sz w:val="24"/>
          <w:szCs w:val="24"/>
        </w:rPr>
        <w:t xml:space="preserve">r. – </w:t>
      </w:r>
      <w:r w:rsidR="00DD79AC">
        <w:rPr>
          <w:rFonts w:ascii="Times New Roman" w:hAnsi="Times New Roman" w:cs="Times New Roman"/>
          <w:sz w:val="24"/>
          <w:szCs w:val="24"/>
        </w:rPr>
        <w:t>4.082.869</w:t>
      </w:r>
      <w:r w:rsidRPr="00F679BB">
        <w:rPr>
          <w:rFonts w:ascii="Times New Roman" w:hAnsi="Times New Roman" w:cs="Times New Roman"/>
          <w:sz w:val="24"/>
          <w:szCs w:val="24"/>
        </w:rPr>
        <w:t xml:space="preserve"> zł, 201</w:t>
      </w:r>
      <w:r w:rsidR="00DD79AC">
        <w:rPr>
          <w:rFonts w:ascii="Times New Roman" w:hAnsi="Times New Roman" w:cs="Times New Roman"/>
          <w:sz w:val="24"/>
          <w:szCs w:val="24"/>
        </w:rPr>
        <w:t xml:space="preserve">6 </w:t>
      </w:r>
      <w:r w:rsidRPr="00F679BB">
        <w:rPr>
          <w:rFonts w:ascii="Times New Roman" w:hAnsi="Times New Roman" w:cs="Times New Roman"/>
          <w:sz w:val="24"/>
          <w:szCs w:val="24"/>
        </w:rPr>
        <w:t xml:space="preserve">r. – </w:t>
      </w:r>
      <w:r w:rsidR="00DD79AC">
        <w:rPr>
          <w:rFonts w:ascii="Times New Roman" w:hAnsi="Times New Roman" w:cs="Times New Roman"/>
          <w:sz w:val="24"/>
          <w:szCs w:val="24"/>
        </w:rPr>
        <w:t>5.150.000</w:t>
      </w:r>
      <w:r w:rsidRPr="00F679BB">
        <w:rPr>
          <w:rFonts w:ascii="Times New Roman" w:hAnsi="Times New Roman" w:cs="Times New Roman"/>
          <w:sz w:val="24"/>
          <w:szCs w:val="24"/>
        </w:rPr>
        <w:t xml:space="preserve"> zł, </w:t>
      </w:r>
      <w:r w:rsidR="00DD79AC">
        <w:rPr>
          <w:rFonts w:ascii="Times New Roman" w:hAnsi="Times New Roman" w:cs="Times New Roman"/>
          <w:sz w:val="24"/>
          <w:szCs w:val="24"/>
        </w:rPr>
        <w:t>2017 r.</w:t>
      </w:r>
      <w:r w:rsidR="00DD79AC" w:rsidRPr="00DD79AC">
        <w:t xml:space="preserve"> </w:t>
      </w:r>
      <w:r w:rsidR="00DD79AC" w:rsidRPr="00DD79AC">
        <w:rPr>
          <w:rFonts w:ascii="Times New Roman" w:hAnsi="Times New Roman" w:cs="Times New Roman"/>
          <w:sz w:val="24"/>
          <w:szCs w:val="24"/>
        </w:rPr>
        <w:t>– 5.</w:t>
      </w:r>
      <w:r w:rsidR="00DD79AC">
        <w:rPr>
          <w:rFonts w:ascii="Times New Roman" w:hAnsi="Times New Roman" w:cs="Times New Roman"/>
          <w:sz w:val="24"/>
          <w:szCs w:val="24"/>
        </w:rPr>
        <w:t>000.000</w:t>
      </w:r>
      <w:r w:rsidR="00DD79AC" w:rsidRPr="00DD79AC">
        <w:rPr>
          <w:rFonts w:ascii="Times New Roman" w:hAnsi="Times New Roman" w:cs="Times New Roman"/>
          <w:sz w:val="24"/>
          <w:szCs w:val="24"/>
        </w:rPr>
        <w:t xml:space="preserve"> zł</w:t>
      </w:r>
      <w:r w:rsidR="00DD79AC">
        <w:rPr>
          <w:rFonts w:ascii="Times New Roman" w:hAnsi="Times New Roman" w:cs="Times New Roman"/>
          <w:sz w:val="24"/>
          <w:szCs w:val="24"/>
        </w:rPr>
        <w:t>,</w:t>
      </w:r>
      <w:r w:rsidR="008B7101">
        <w:rPr>
          <w:rFonts w:ascii="Times New Roman" w:hAnsi="Times New Roman" w:cs="Times New Roman"/>
          <w:sz w:val="24"/>
          <w:szCs w:val="24"/>
        </w:rPr>
        <w:t xml:space="preserve"> 2018 r. – </w:t>
      </w:r>
      <w:r w:rsidR="008B7101">
        <w:rPr>
          <w:rFonts w:ascii="Times New Roman" w:hAnsi="Times New Roman" w:cs="Times New Roman"/>
          <w:sz w:val="24"/>
          <w:szCs w:val="24"/>
        </w:rPr>
        <w:br/>
        <w:t>2.000.000 zł, 2019 r. – 2.000.000 zł, 2020 r. – 2.000.000 zł,</w:t>
      </w:r>
      <w:r w:rsidR="00DD79AC"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>limit</w:t>
      </w:r>
      <w:r w:rsidR="00DD79AC"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zobowiązań został ustalony do kwoty </w:t>
      </w:r>
      <w:r w:rsidR="008B7101">
        <w:rPr>
          <w:rFonts w:ascii="Times New Roman" w:hAnsi="Times New Roman" w:cs="Times New Roman"/>
          <w:sz w:val="24"/>
          <w:szCs w:val="24"/>
        </w:rPr>
        <w:t>20.</w:t>
      </w:r>
      <w:r w:rsidR="00DD79AC">
        <w:rPr>
          <w:rFonts w:ascii="Times New Roman" w:hAnsi="Times New Roman" w:cs="Times New Roman"/>
          <w:sz w:val="24"/>
          <w:szCs w:val="24"/>
        </w:rPr>
        <w:t>232.869</w:t>
      </w:r>
      <w:r w:rsidRPr="00F679BB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F679BB" w:rsidRP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>a) Wydatki na programy, projekty lub zadania związane z programami realizowanymi z udziałem</w:t>
      </w:r>
    </w:p>
    <w:p w:rsidR="00F679BB" w:rsidRP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>środków, o których mowa w art. 5 ust. 1 pkt 2 i 3 uofp (Dz.U. Nr 157, poz. 1240, z późn. zm.):</w:t>
      </w:r>
    </w:p>
    <w:p w:rsidR="00DD79AC" w:rsidRDefault="00F679BB" w:rsidP="003D3571">
      <w:pPr>
        <w:pStyle w:val="Bodytek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 xml:space="preserve">- </w:t>
      </w:r>
      <w:r w:rsidR="00DD79AC" w:rsidRPr="00735CC0">
        <w:rPr>
          <w:rFonts w:ascii="Times New Roman" w:hAnsi="Times New Roman" w:cs="Times New Roman"/>
          <w:b/>
          <w:sz w:val="24"/>
          <w:szCs w:val="24"/>
        </w:rPr>
        <w:t xml:space="preserve">Rozwój i upowszechnianie aktywnej integracji społecznej w Powiecie Goleniowskim – </w:t>
      </w:r>
      <w:r w:rsidR="00CF254C">
        <w:rPr>
          <w:rFonts w:ascii="Times New Roman" w:hAnsi="Times New Roman" w:cs="Times New Roman"/>
          <w:b/>
          <w:sz w:val="24"/>
          <w:szCs w:val="24"/>
        </w:rPr>
        <w:br/>
      </w:r>
      <w:r w:rsidR="00DD79AC" w:rsidRPr="00735CC0">
        <w:rPr>
          <w:rFonts w:ascii="Times New Roman" w:hAnsi="Times New Roman" w:cs="Times New Roman"/>
          <w:b/>
          <w:sz w:val="24"/>
          <w:szCs w:val="24"/>
        </w:rPr>
        <w:t>Z bezradności do aktywności</w:t>
      </w:r>
      <w:r w:rsidR="00DD79AC" w:rsidRPr="001C1CB7">
        <w:rPr>
          <w:rFonts w:ascii="Times New Roman" w:hAnsi="Times New Roman" w:cs="Times New Roman"/>
          <w:sz w:val="24"/>
          <w:szCs w:val="24"/>
        </w:rPr>
        <w:t xml:space="preserve"> – Liderem projektu, realizowanego od 2008</w:t>
      </w:r>
      <w:r w:rsidR="00DD79AC">
        <w:rPr>
          <w:rFonts w:ascii="Times New Roman" w:hAnsi="Times New Roman" w:cs="Times New Roman"/>
          <w:sz w:val="24"/>
          <w:szCs w:val="24"/>
        </w:rPr>
        <w:t xml:space="preserve"> do 2014</w:t>
      </w:r>
      <w:r w:rsidR="00DD79AC" w:rsidRPr="001C1CB7">
        <w:rPr>
          <w:rFonts w:ascii="Times New Roman" w:hAnsi="Times New Roman" w:cs="Times New Roman"/>
          <w:sz w:val="24"/>
          <w:szCs w:val="24"/>
        </w:rPr>
        <w:t xml:space="preserve"> roku </w:t>
      </w:r>
      <w:r w:rsidR="00CF254C">
        <w:rPr>
          <w:rFonts w:ascii="Times New Roman" w:hAnsi="Times New Roman" w:cs="Times New Roman"/>
          <w:sz w:val="24"/>
          <w:szCs w:val="24"/>
        </w:rPr>
        <w:br/>
      </w:r>
      <w:r w:rsidR="00DD79AC" w:rsidRPr="001C1CB7">
        <w:rPr>
          <w:rFonts w:ascii="Times New Roman" w:hAnsi="Times New Roman" w:cs="Times New Roman"/>
          <w:sz w:val="24"/>
          <w:szCs w:val="24"/>
        </w:rPr>
        <w:t>i współfinansowanego ze środków Europejskiego Funduszu Społecznego, jest Powiatowe Centrum Pomocy Rodzinie w Goleniowie w partnerstwie z gminnymi ośrodkami pomocy społecznej. Jego celem jest aktywizacja społeczna i zawodowa osób korzystających z pomocy społecznej, przede wszystkim długotrwale bezrobotnych., a także przeciwdziałanie wykluczeniu społecznemu rodzin z problemami opiekuńczo-wychowawczymi nie radzącymi sobie w prowadzeniu gospodarstwa domowego. Budżet projektu na 201</w:t>
      </w:r>
      <w:r w:rsidR="00DD79AC">
        <w:rPr>
          <w:rFonts w:ascii="Times New Roman" w:hAnsi="Times New Roman" w:cs="Times New Roman"/>
          <w:sz w:val="24"/>
          <w:szCs w:val="24"/>
        </w:rPr>
        <w:t>5</w:t>
      </w:r>
      <w:r w:rsidR="00DD79AC" w:rsidRPr="001C1CB7">
        <w:rPr>
          <w:rFonts w:ascii="Times New Roman" w:hAnsi="Times New Roman" w:cs="Times New Roman"/>
          <w:sz w:val="24"/>
          <w:szCs w:val="24"/>
        </w:rPr>
        <w:t xml:space="preserve"> rok wyn</w:t>
      </w:r>
      <w:r w:rsidR="00DD79AC">
        <w:rPr>
          <w:rFonts w:ascii="Times New Roman" w:hAnsi="Times New Roman" w:cs="Times New Roman"/>
          <w:sz w:val="24"/>
          <w:szCs w:val="24"/>
        </w:rPr>
        <w:t xml:space="preserve">osi 21.494 </w:t>
      </w:r>
      <w:r w:rsidR="00DD79AC" w:rsidRPr="001C1CB7">
        <w:rPr>
          <w:rFonts w:ascii="Times New Roman" w:hAnsi="Times New Roman" w:cs="Times New Roman"/>
          <w:sz w:val="24"/>
          <w:szCs w:val="24"/>
        </w:rPr>
        <w:t>zł</w:t>
      </w:r>
      <w:r w:rsidR="00DD79AC">
        <w:rPr>
          <w:rFonts w:ascii="Times New Roman" w:hAnsi="Times New Roman" w:cs="Times New Roman"/>
          <w:sz w:val="24"/>
          <w:szCs w:val="24"/>
        </w:rPr>
        <w:t xml:space="preserve"> i są to należne dla osób zatrudnionych w projekcie </w:t>
      </w:r>
      <w:r w:rsidR="00392742">
        <w:rPr>
          <w:rFonts w:ascii="Times New Roman" w:hAnsi="Times New Roman" w:cs="Times New Roman"/>
          <w:sz w:val="24"/>
          <w:szCs w:val="24"/>
        </w:rPr>
        <w:t>dodatkowe wynagrodzenia roczne</w:t>
      </w:r>
      <w:r w:rsidR="00DD79AC">
        <w:rPr>
          <w:rFonts w:ascii="Times New Roman" w:hAnsi="Times New Roman" w:cs="Times New Roman"/>
          <w:sz w:val="24"/>
          <w:szCs w:val="24"/>
        </w:rPr>
        <w:t xml:space="preserve"> za 2014 r.</w:t>
      </w:r>
      <w:r w:rsidR="00DD79AC" w:rsidRPr="001C1CB7">
        <w:rPr>
          <w:rFonts w:ascii="Times New Roman" w:hAnsi="Times New Roman" w:cs="Times New Roman"/>
          <w:sz w:val="24"/>
          <w:szCs w:val="24"/>
        </w:rPr>
        <w:t>,</w:t>
      </w:r>
    </w:p>
    <w:p w:rsidR="00DD79AC" w:rsidRDefault="00DD79AC" w:rsidP="003D3571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  <w:sz w:val="24"/>
          <w:szCs w:val="24"/>
        </w:rPr>
      </w:pPr>
      <w:r w:rsidRPr="000C3EE2">
        <w:rPr>
          <w:b/>
          <w:sz w:val="24"/>
          <w:szCs w:val="24"/>
        </w:rPr>
        <w:t>Praktyka najlepszym nauczycielem</w:t>
      </w:r>
      <w:r w:rsidRPr="000C3EE2">
        <w:rPr>
          <w:sz w:val="24"/>
          <w:szCs w:val="24"/>
        </w:rPr>
        <w:t xml:space="preserve"> - Projekt współfinansowany ze środków Europejskiego Funduszu Społecznego realizowany od 2012 roku do 2015 roku w dwóch szkołach zawodowych tj. Zespole Szkół</w:t>
      </w:r>
      <w:r>
        <w:rPr>
          <w:sz w:val="24"/>
          <w:szCs w:val="24"/>
        </w:rPr>
        <w:t xml:space="preserve"> Nr 1 w Goleniowie</w:t>
      </w:r>
      <w:r w:rsidRPr="000C3EE2">
        <w:rPr>
          <w:sz w:val="24"/>
          <w:szCs w:val="24"/>
        </w:rPr>
        <w:t xml:space="preserve"> i Zespole Szkół Ponadgimnazjalnych w Nowogardzie. Cel główny projektu to podniesienie efektywności i rynkowości procesów kształcenia w </w:t>
      </w:r>
      <w:r>
        <w:rPr>
          <w:sz w:val="24"/>
          <w:szCs w:val="24"/>
        </w:rPr>
        <w:t>w/</w:t>
      </w:r>
      <w:r w:rsidR="00DB13DF">
        <w:rPr>
          <w:sz w:val="24"/>
          <w:szCs w:val="24"/>
        </w:rPr>
        <w:t>w szkołach</w:t>
      </w:r>
      <w:r w:rsidRPr="000C3EE2">
        <w:rPr>
          <w:sz w:val="24"/>
          <w:szCs w:val="24"/>
        </w:rPr>
        <w:t xml:space="preserve"> poprzez wdrożenie programów rozwojowych opartych na realizacji w ścisłej współpracy</w:t>
      </w:r>
      <w:r w:rsidRPr="000C3EE2">
        <w:rPr>
          <w:color w:val="000000"/>
          <w:sz w:val="24"/>
          <w:szCs w:val="24"/>
        </w:rPr>
        <w:t xml:space="preserve"> z pracodawcami</w:t>
      </w:r>
      <w:r w:rsidR="00CB0586">
        <w:rPr>
          <w:color w:val="000000"/>
          <w:sz w:val="24"/>
          <w:szCs w:val="24"/>
        </w:rPr>
        <w:t>.</w:t>
      </w:r>
      <w:r w:rsidRPr="000C3EE2">
        <w:rPr>
          <w:color w:val="000000"/>
          <w:sz w:val="24"/>
          <w:szCs w:val="24"/>
        </w:rPr>
        <w:t xml:space="preserve"> </w:t>
      </w:r>
      <w:r w:rsidRPr="00735CC0">
        <w:rPr>
          <w:color w:val="000000"/>
          <w:sz w:val="24"/>
          <w:szCs w:val="24"/>
        </w:rPr>
        <w:t xml:space="preserve">Budżet projektu wynosi </w:t>
      </w:r>
      <w:r w:rsidRPr="000C3EE2">
        <w:rPr>
          <w:color w:val="000000"/>
          <w:sz w:val="24"/>
          <w:szCs w:val="24"/>
        </w:rPr>
        <w:t>1</w:t>
      </w:r>
      <w:r w:rsidR="00DB13DF">
        <w:rPr>
          <w:color w:val="000000"/>
          <w:sz w:val="24"/>
          <w:szCs w:val="24"/>
        </w:rPr>
        <w:t>.</w:t>
      </w:r>
      <w:r w:rsidRPr="000C3EE2">
        <w:rPr>
          <w:color w:val="000000"/>
          <w:sz w:val="24"/>
          <w:szCs w:val="24"/>
        </w:rPr>
        <w:t>544</w:t>
      </w:r>
      <w:r w:rsidR="00DB13DF">
        <w:rPr>
          <w:color w:val="000000"/>
          <w:sz w:val="24"/>
          <w:szCs w:val="24"/>
        </w:rPr>
        <w:t>.</w:t>
      </w:r>
      <w:r w:rsidRPr="000C3EE2">
        <w:rPr>
          <w:color w:val="000000"/>
          <w:sz w:val="24"/>
          <w:szCs w:val="24"/>
        </w:rPr>
        <w:t>480</w:t>
      </w:r>
      <w:r w:rsidRPr="00735CC0">
        <w:rPr>
          <w:color w:val="000000"/>
          <w:sz w:val="24"/>
          <w:szCs w:val="24"/>
        </w:rPr>
        <w:t xml:space="preserve"> zł,</w:t>
      </w:r>
      <w:r w:rsidRPr="00735CC0">
        <w:t xml:space="preserve"> </w:t>
      </w:r>
      <w:r w:rsidRPr="00735CC0">
        <w:rPr>
          <w:color w:val="000000"/>
          <w:sz w:val="24"/>
          <w:szCs w:val="24"/>
        </w:rPr>
        <w:t>z tego na 201</w:t>
      </w:r>
      <w:r w:rsidR="00CB0586">
        <w:rPr>
          <w:color w:val="000000"/>
          <w:sz w:val="24"/>
          <w:szCs w:val="24"/>
        </w:rPr>
        <w:t>5</w:t>
      </w:r>
      <w:r w:rsidRPr="00735CC0">
        <w:rPr>
          <w:color w:val="000000"/>
          <w:sz w:val="24"/>
          <w:szCs w:val="24"/>
        </w:rPr>
        <w:t xml:space="preserve"> rok</w:t>
      </w:r>
      <w:r w:rsidRPr="00735CC0">
        <w:t xml:space="preserve"> </w:t>
      </w:r>
      <w:r w:rsidR="00CB0586">
        <w:t>156.640</w:t>
      </w:r>
      <w:r>
        <w:rPr>
          <w:color w:val="000000"/>
          <w:sz w:val="24"/>
          <w:szCs w:val="24"/>
        </w:rPr>
        <w:t xml:space="preserve"> zł,</w:t>
      </w:r>
    </w:p>
    <w:p w:rsidR="00DB13DF" w:rsidRPr="007802D6" w:rsidRDefault="00CB0586" w:rsidP="003D3571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  <w:sz w:val="24"/>
          <w:szCs w:val="24"/>
        </w:rPr>
      </w:pPr>
      <w:r w:rsidRPr="001F0674">
        <w:rPr>
          <w:b/>
          <w:color w:val="000000"/>
          <w:sz w:val="24"/>
          <w:szCs w:val="24"/>
        </w:rPr>
        <w:lastRenderedPageBreak/>
        <w:t>e – Inclusion Powiatu Goleniowskiego</w:t>
      </w:r>
      <w:r w:rsidRPr="001F0674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0C3EE2">
        <w:rPr>
          <w:sz w:val="24"/>
          <w:szCs w:val="24"/>
        </w:rPr>
        <w:t xml:space="preserve">rojekt współfinansowany ze środków </w:t>
      </w:r>
      <w:r w:rsidRPr="001F0674">
        <w:rPr>
          <w:sz w:val="24"/>
          <w:szCs w:val="24"/>
        </w:rPr>
        <w:t>Program</w:t>
      </w:r>
      <w:r>
        <w:rPr>
          <w:sz w:val="24"/>
          <w:szCs w:val="24"/>
        </w:rPr>
        <w:t>u</w:t>
      </w:r>
      <w:r w:rsidRPr="001F0674">
        <w:rPr>
          <w:sz w:val="24"/>
          <w:szCs w:val="24"/>
        </w:rPr>
        <w:t xml:space="preserve"> Operacyjn</w:t>
      </w:r>
      <w:r>
        <w:rPr>
          <w:sz w:val="24"/>
          <w:szCs w:val="24"/>
        </w:rPr>
        <w:t>ego</w:t>
      </w:r>
      <w:r w:rsidRPr="001F0674">
        <w:rPr>
          <w:sz w:val="24"/>
          <w:szCs w:val="24"/>
        </w:rPr>
        <w:t xml:space="preserve"> Innowacyjna Gospodarka </w:t>
      </w:r>
      <w:r w:rsidR="008B7101">
        <w:rPr>
          <w:sz w:val="24"/>
          <w:szCs w:val="24"/>
        </w:rPr>
        <w:t>realizowany</w:t>
      </w:r>
      <w:r w:rsidRPr="000C3EE2">
        <w:rPr>
          <w:sz w:val="24"/>
          <w:szCs w:val="24"/>
        </w:rPr>
        <w:t xml:space="preserve"> od 201</w:t>
      </w:r>
      <w:r>
        <w:rPr>
          <w:sz w:val="24"/>
          <w:szCs w:val="24"/>
        </w:rPr>
        <w:t>3</w:t>
      </w:r>
      <w:r w:rsidRPr="000C3EE2">
        <w:rPr>
          <w:sz w:val="24"/>
          <w:szCs w:val="24"/>
        </w:rPr>
        <w:t xml:space="preserve"> do 2015 roku</w:t>
      </w:r>
      <w:r>
        <w:rPr>
          <w:sz w:val="24"/>
          <w:szCs w:val="24"/>
        </w:rPr>
        <w:t xml:space="preserve">. </w:t>
      </w:r>
      <w:r w:rsidRPr="001F0674">
        <w:rPr>
          <w:sz w:val="24"/>
          <w:szCs w:val="24"/>
        </w:rPr>
        <w:t>Celem ogólnym projektu jest dostarczenie sygnału internetowego wraz ze sprzętem komputerowym do 30 gospodarstw domowych (g. d.), zagrożonych wykluczeniem cyfrowym, 115 rodzin zastępczych</w:t>
      </w:r>
      <w:r w:rsidR="00DB13DF">
        <w:rPr>
          <w:sz w:val="24"/>
          <w:szCs w:val="24"/>
        </w:rPr>
        <w:t xml:space="preserve">, </w:t>
      </w:r>
      <w:r w:rsidRPr="001F0674">
        <w:rPr>
          <w:sz w:val="24"/>
          <w:szCs w:val="24"/>
        </w:rPr>
        <w:t xml:space="preserve">do świetlic zlokalizowanych w </w:t>
      </w:r>
      <w:r>
        <w:rPr>
          <w:sz w:val="24"/>
          <w:szCs w:val="24"/>
        </w:rPr>
        <w:t>5 WPOW i 7 szkołach</w:t>
      </w:r>
      <w:r w:rsidRPr="001F0674">
        <w:rPr>
          <w:sz w:val="24"/>
          <w:szCs w:val="24"/>
        </w:rPr>
        <w:t xml:space="preserve"> dla dzieci i osób</w:t>
      </w:r>
      <w:r>
        <w:rPr>
          <w:sz w:val="24"/>
          <w:szCs w:val="24"/>
        </w:rPr>
        <w:t xml:space="preserve"> korzystających z tych świetlic</w:t>
      </w:r>
      <w:r w:rsidR="00DB13DF">
        <w:rPr>
          <w:sz w:val="24"/>
          <w:szCs w:val="24"/>
        </w:rPr>
        <w:t xml:space="preserve"> a także dla </w:t>
      </w:r>
      <w:r w:rsidR="00DB13DF" w:rsidRPr="00DB13DF">
        <w:rPr>
          <w:sz w:val="24"/>
          <w:szCs w:val="24"/>
        </w:rPr>
        <w:t xml:space="preserve">100 osób zaliczonych do grupy dzieci i młodzieży uczącej się z bardzo dobrymi wynikami w nauce, z rodzin, w których przeciętny miesięczny dochód opodatkowany na osobę w rodzinie, z roku poprzedzającego rok udziału w projekcie był niższy, niż ostatni aktualny roczny wskaźnik „Przeciętny miesięczny dochód rozporządzalny na 1 osobę w gospodarstwie domowym publikowany przez Prezesa GUS w Biuletynie Statystycznym”. </w:t>
      </w:r>
      <w:r>
        <w:rPr>
          <w:sz w:val="24"/>
          <w:szCs w:val="24"/>
        </w:rPr>
        <w:t>Planowany budżet projektu w okresie trzy letnim wynosi 3.679.300 zł</w:t>
      </w:r>
      <w:r w:rsidR="00DB13DF">
        <w:rPr>
          <w:sz w:val="24"/>
          <w:szCs w:val="24"/>
        </w:rPr>
        <w:t xml:space="preserve"> z tego na rok 2015 - 408.291 zł,</w:t>
      </w:r>
    </w:p>
    <w:p w:rsidR="009056C3" w:rsidRPr="009056C3" w:rsidRDefault="009056C3" w:rsidP="003D3571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  <w:sz w:val="24"/>
          <w:szCs w:val="24"/>
        </w:rPr>
      </w:pPr>
      <w:r w:rsidRPr="009056C3">
        <w:rPr>
          <w:b/>
          <w:color w:val="000000"/>
          <w:sz w:val="24"/>
          <w:szCs w:val="24"/>
        </w:rPr>
        <w:t>Wsparcie na starcie</w:t>
      </w:r>
      <w:r w:rsidRPr="009056C3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p</w:t>
      </w:r>
      <w:r w:rsidRPr="009056C3">
        <w:rPr>
          <w:color w:val="000000"/>
          <w:sz w:val="24"/>
          <w:szCs w:val="24"/>
        </w:rPr>
        <w:t>rojekt realizowany przez PUP w Goleniowie</w:t>
      </w:r>
      <w:r>
        <w:rPr>
          <w:color w:val="000000"/>
          <w:sz w:val="24"/>
          <w:szCs w:val="24"/>
        </w:rPr>
        <w:t xml:space="preserve"> w okresie od 2013- 2015</w:t>
      </w:r>
      <w:r w:rsidRPr="009056C3">
        <w:rPr>
          <w:color w:val="000000"/>
          <w:sz w:val="24"/>
          <w:szCs w:val="24"/>
        </w:rPr>
        <w:t>. Działania w ramach w/w projektu skierowane są do 30 osób bezrobotnych w wieku powyżej 50 roku życia oraz do 13 kobiet i 10 mężczyzn w wieku do 30 roku życia</w:t>
      </w:r>
      <w:r>
        <w:rPr>
          <w:color w:val="000000"/>
          <w:sz w:val="24"/>
          <w:szCs w:val="24"/>
        </w:rPr>
        <w:t xml:space="preserve">. </w:t>
      </w:r>
      <w:r w:rsidRPr="009056C3">
        <w:rPr>
          <w:color w:val="000000"/>
          <w:sz w:val="24"/>
          <w:szCs w:val="24"/>
        </w:rPr>
        <w:t>Beneficjenci ostateczni projektu otrzymają zarówno doradztwo indywidualne i szkolenie jak i wsparcie finansowe na rozpoczęcie działalności gospodarczej</w:t>
      </w:r>
      <w:r>
        <w:rPr>
          <w:color w:val="000000"/>
          <w:sz w:val="24"/>
          <w:szCs w:val="24"/>
        </w:rPr>
        <w:t>.</w:t>
      </w:r>
      <w:r w:rsidRPr="009056C3">
        <w:rPr>
          <w:sz w:val="24"/>
          <w:szCs w:val="24"/>
        </w:rPr>
        <w:t xml:space="preserve"> </w:t>
      </w:r>
      <w:r w:rsidRPr="009056C3">
        <w:rPr>
          <w:color w:val="000000"/>
          <w:sz w:val="24"/>
          <w:szCs w:val="24"/>
        </w:rPr>
        <w:t xml:space="preserve">Planowany budżet projektu wynosi </w:t>
      </w:r>
      <w:r>
        <w:rPr>
          <w:color w:val="000000"/>
          <w:sz w:val="24"/>
          <w:szCs w:val="24"/>
        </w:rPr>
        <w:t>813.503</w:t>
      </w:r>
      <w:r w:rsidRPr="009056C3">
        <w:rPr>
          <w:color w:val="000000"/>
          <w:sz w:val="24"/>
          <w:szCs w:val="24"/>
        </w:rPr>
        <w:t xml:space="preserve"> zł z tego na rok 2015 </w:t>
      </w:r>
      <w:r>
        <w:rPr>
          <w:color w:val="000000"/>
          <w:sz w:val="24"/>
          <w:szCs w:val="24"/>
        </w:rPr>
        <w:t>–</w:t>
      </w:r>
      <w:r w:rsidRPr="009056C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27.717</w:t>
      </w:r>
      <w:r w:rsidRPr="009056C3">
        <w:rPr>
          <w:color w:val="000000"/>
          <w:sz w:val="24"/>
          <w:szCs w:val="24"/>
        </w:rPr>
        <w:t xml:space="preserve"> zł,</w:t>
      </w:r>
    </w:p>
    <w:p w:rsidR="0068066A" w:rsidRPr="0068066A" w:rsidRDefault="007802D6" w:rsidP="003D3571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  <w:sz w:val="24"/>
          <w:szCs w:val="24"/>
        </w:rPr>
      </w:pPr>
      <w:r w:rsidRPr="007802D6">
        <w:rPr>
          <w:b/>
          <w:sz w:val="24"/>
          <w:szCs w:val="24"/>
        </w:rPr>
        <w:t>Najlepszy w zawodzie</w:t>
      </w:r>
      <w:r>
        <w:rPr>
          <w:sz w:val="24"/>
          <w:szCs w:val="24"/>
        </w:rPr>
        <w:t xml:space="preserve"> </w:t>
      </w:r>
      <w:r w:rsidRPr="007802D6">
        <w:rPr>
          <w:sz w:val="24"/>
          <w:szCs w:val="24"/>
        </w:rPr>
        <w:t>projekt</w:t>
      </w:r>
      <w:r>
        <w:rPr>
          <w:sz w:val="24"/>
          <w:szCs w:val="24"/>
        </w:rPr>
        <w:t xml:space="preserve"> </w:t>
      </w:r>
      <w:r w:rsidRPr="007802D6">
        <w:rPr>
          <w:sz w:val="24"/>
          <w:szCs w:val="24"/>
        </w:rPr>
        <w:t xml:space="preserve">realizowany w partnerstwie z WUP Szczecin w okresie od </w:t>
      </w:r>
      <w:r>
        <w:rPr>
          <w:sz w:val="24"/>
          <w:szCs w:val="24"/>
        </w:rPr>
        <w:br/>
      </w:r>
      <w:r w:rsidRPr="007802D6">
        <w:rPr>
          <w:sz w:val="24"/>
          <w:szCs w:val="24"/>
        </w:rPr>
        <w:t xml:space="preserve">2014 r., do 2015 r. Całkowita wartość projektu wynosi 631.396 zł </w:t>
      </w:r>
      <w:r>
        <w:rPr>
          <w:sz w:val="24"/>
          <w:szCs w:val="24"/>
        </w:rPr>
        <w:t>z</w:t>
      </w:r>
      <w:r w:rsidRPr="007802D6">
        <w:rPr>
          <w:sz w:val="24"/>
          <w:szCs w:val="24"/>
        </w:rPr>
        <w:t xml:space="preserve"> tego na rok </w:t>
      </w:r>
      <w:r>
        <w:rPr>
          <w:sz w:val="24"/>
          <w:szCs w:val="24"/>
        </w:rPr>
        <w:br/>
      </w:r>
      <w:r w:rsidRPr="007802D6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7802D6">
        <w:rPr>
          <w:sz w:val="24"/>
          <w:szCs w:val="24"/>
        </w:rPr>
        <w:t xml:space="preserve"> – </w:t>
      </w:r>
      <w:r>
        <w:rPr>
          <w:sz w:val="24"/>
          <w:szCs w:val="24"/>
        </w:rPr>
        <w:t>156.316 zł</w:t>
      </w:r>
      <w:r w:rsidRPr="007802D6">
        <w:rPr>
          <w:sz w:val="24"/>
          <w:szCs w:val="24"/>
        </w:rPr>
        <w:t>. Projekt ma na celu wsparcie szkół zawodowych w działaniach na rzecz podniesienia atrakcyjności kształcenia zawodowego</w:t>
      </w:r>
      <w:r>
        <w:rPr>
          <w:sz w:val="24"/>
          <w:szCs w:val="24"/>
        </w:rPr>
        <w:t>.</w:t>
      </w:r>
      <w:r w:rsidRPr="007802D6">
        <w:rPr>
          <w:sz w:val="24"/>
          <w:szCs w:val="24"/>
        </w:rPr>
        <w:t xml:space="preserve"> Projekt będzie obejmował działania w Zespole Szkół Ponadgimnazjalnych w Nowogardzie i Zespole Szkół Nr 1 w Goleniowie</w:t>
      </w:r>
    </w:p>
    <w:p w:rsidR="00CB0586" w:rsidRPr="00735CC0" w:rsidRDefault="0068066A" w:rsidP="003D3571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  <w:sz w:val="24"/>
          <w:szCs w:val="24"/>
        </w:rPr>
      </w:pPr>
      <w:r w:rsidRPr="0068066A">
        <w:rPr>
          <w:b/>
          <w:sz w:val="24"/>
          <w:szCs w:val="24"/>
        </w:rPr>
        <w:t xml:space="preserve">Termomodernizacja budynków użyteczności publicznej w Powiecie Goleniowskim </w:t>
      </w:r>
      <w:r w:rsidRPr="0068066A">
        <w:rPr>
          <w:sz w:val="24"/>
          <w:szCs w:val="24"/>
        </w:rPr>
        <w:t>- projekt planowany na lata 2013 - 201</w:t>
      </w:r>
      <w:r>
        <w:rPr>
          <w:sz w:val="24"/>
          <w:szCs w:val="24"/>
        </w:rPr>
        <w:t>7</w:t>
      </w:r>
      <w:r w:rsidRPr="0068066A">
        <w:rPr>
          <w:sz w:val="24"/>
          <w:szCs w:val="24"/>
        </w:rPr>
        <w:t>. W ramach tego projektu planowane jest uzyskanie dofinansowania z Funduszu Norweskiego do wysokości 80% nakładów finansowych</w:t>
      </w:r>
      <w:r>
        <w:rPr>
          <w:sz w:val="24"/>
          <w:szCs w:val="24"/>
        </w:rPr>
        <w:t>.</w:t>
      </w:r>
      <w:r w:rsidR="00CB0586" w:rsidRPr="001F0674">
        <w:rPr>
          <w:sz w:val="24"/>
          <w:szCs w:val="24"/>
        </w:rPr>
        <w:t xml:space="preserve"> </w:t>
      </w:r>
    </w:p>
    <w:p w:rsidR="00F679BB" w:rsidRP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>b) Wydatki na programy, projekty lub zadania pozostałe:</w:t>
      </w:r>
      <w:r w:rsidR="0068066A">
        <w:rPr>
          <w:rFonts w:ascii="Times New Roman" w:hAnsi="Times New Roman" w:cs="Times New Roman"/>
          <w:sz w:val="24"/>
          <w:szCs w:val="24"/>
        </w:rPr>
        <w:t xml:space="preserve"> w ramach tej kategorii planowane są nakłady inwestycyjne na modernizację dróg powiatowych.</w:t>
      </w:r>
    </w:p>
    <w:p w:rsidR="00CF254C" w:rsidRDefault="00CF254C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B21" w:rsidRPr="00D15B21" w:rsidRDefault="00D15B21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B21">
        <w:rPr>
          <w:rFonts w:ascii="Times New Roman" w:hAnsi="Times New Roman" w:cs="Times New Roman"/>
          <w:b/>
          <w:sz w:val="24"/>
          <w:szCs w:val="24"/>
        </w:rPr>
        <w:t>VII. Ustawowe wskaźniki limitujące zadłużenie</w:t>
      </w:r>
    </w:p>
    <w:p w:rsidR="00273024" w:rsidRDefault="00D15B21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5B21">
        <w:rPr>
          <w:rFonts w:ascii="Times New Roman" w:hAnsi="Times New Roman" w:cs="Times New Roman"/>
          <w:sz w:val="24"/>
          <w:szCs w:val="24"/>
        </w:rPr>
        <w:t>Zgodnie z obowiązującymi przepisami dla budżetów jednostek samorządu terytorialnego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począwszy od 2014 roku zastosowanie mają przepisy art. 243-244 ustawy z dnia 27 sierpnia </w:t>
      </w:r>
      <w:r w:rsidR="00F856E9">
        <w:rPr>
          <w:rFonts w:ascii="Times New Roman" w:hAnsi="Times New Roman" w:cs="Times New Roman"/>
          <w:sz w:val="24"/>
          <w:szCs w:val="24"/>
        </w:rPr>
        <w:br/>
      </w:r>
      <w:r w:rsidRPr="00D15B21">
        <w:rPr>
          <w:rFonts w:ascii="Times New Roman" w:hAnsi="Times New Roman" w:cs="Times New Roman"/>
          <w:sz w:val="24"/>
          <w:szCs w:val="24"/>
        </w:rPr>
        <w:t>o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finansach publicznych. Zgodnie z nimi nie </w:t>
      </w:r>
      <w:r w:rsidR="00F856E9" w:rsidRPr="00D15B21">
        <w:rPr>
          <w:rFonts w:ascii="Times New Roman" w:hAnsi="Times New Roman" w:cs="Times New Roman"/>
          <w:sz w:val="24"/>
          <w:szCs w:val="24"/>
        </w:rPr>
        <w:t>mo</w:t>
      </w:r>
      <w:r w:rsidR="00F856E9">
        <w:rPr>
          <w:rFonts w:ascii="Times New Roman" w:hAnsi="Times New Roman" w:cs="Times New Roman"/>
          <w:sz w:val="24"/>
          <w:szCs w:val="24"/>
        </w:rPr>
        <w:t>ż</w:t>
      </w:r>
      <w:r w:rsidR="00F856E9" w:rsidRPr="00D15B21">
        <w:rPr>
          <w:rFonts w:ascii="Times New Roman" w:hAnsi="Times New Roman" w:cs="Times New Roman"/>
          <w:sz w:val="24"/>
          <w:szCs w:val="24"/>
        </w:rPr>
        <w:t>na</w:t>
      </w:r>
      <w:r w:rsidRPr="00D15B21">
        <w:rPr>
          <w:rFonts w:ascii="Times New Roman" w:hAnsi="Times New Roman" w:cs="Times New Roman"/>
          <w:sz w:val="24"/>
          <w:szCs w:val="24"/>
        </w:rPr>
        <w:t xml:space="preserve"> uchwalić </w:t>
      </w:r>
      <w:r w:rsidR="00F856E9" w:rsidRPr="00D15B21">
        <w:rPr>
          <w:rFonts w:ascii="Times New Roman" w:hAnsi="Times New Roman" w:cs="Times New Roman"/>
          <w:sz w:val="24"/>
          <w:szCs w:val="24"/>
        </w:rPr>
        <w:t>budżetu</w:t>
      </w:r>
      <w:r w:rsidRPr="00D15B21">
        <w:rPr>
          <w:rFonts w:ascii="Times New Roman" w:hAnsi="Times New Roman" w:cs="Times New Roman"/>
          <w:sz w:val="24"/>
          <w:szCs w:val="24"/>
        </w:rPr>
        <w:t>, którego realizacja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spowoduje, </w:t>
      </w:r>
      <w:r w:rsidR="00F856E9">
        <w:rPr>
          <w:rFonts w:ascii="Times New Roman" w:hAnsi="Times New Roman" w:cs="Times New Roman"/>
          <w:sz w:val="24"/>
          <w:szCs w:val="24"/>
        </w:rPr>
        <w:t>ż</w:t>
      </w:r>
      <w:r w:rsidR="00F856E9" w:rsidRPr="00D15B21">
        <w:rPr>
          <w:rFonts w:ascii="Times New Roman" w:hAnsi="Times New Roman" w:cs="Times New Roman"/>
          <w:sz w:val="24"/>
          <w:szCs w:val="24"/>
        </w:rPr>
        <w:t>e</w:t>
      </w:r>
      <w:r w:rsidRPr="00D15B21">
        <w:rPr>
          <w:rFonts w:ascii="Times New Roman" w:hAnsi="Times New Roman" w:cs="Times New Roman"/>
          <w:sz w:val="24"/>
          <w:szCs w:val="24"/>
        </w:rPr>
        <w:t xml:space="preserve"> w roku </w:t>
      </w:r>
      <w:r w:rsidR="00F856E9" w:rsidRPr="00D15B21">
        <w:rPr>
          <w:rFonts w:ascii="Times New Roman" w:hAnsi="Times New Roman" w:cs="Times New Roman"/>
          <w:sz w:val="24"/>
          <w:szCs w:val="24"/>
        </w:rPr>
        <w:t>budżetowym</w:t>
      </w:r>
      <w:r w:rsidRPr="00D15B21">
        <w:rPr>
          <w:rFonts w:ascii="Times New Roman" w:hAnsi="Times New Roman" w:cs="Times New Roman"/>
          <w:sz w:val="24"/>
          <w:szCs w:val="24"/>
        </w:rPr>
        <w:t xml:space="preserve"> oraz w </w:t>
      </w:r>
      <w:r w:rsidR="00F856E9" w:rsidRPr="00D15B21">
        <w:rPr>
          <w:rFonts w:ascii="Times New Roman" w:hAnsi="Times New Roman" w:cs="Times New Roman"/>
          <w:sz w:val="24"/>
          <w:szCs w:val="24"/>
        </w:rPr>
        <w:t>każdym</w:t>
      </w:r>
      <w:r w:rsidRPr="00D15B21">
        <w:rPr>
          <w:rFonts w:ascii="Times New Roman" w:hAnsi="Times New Roman" w:cs="Times New Roman"/>
          <w:sz w:val="24"/>
          <w:szCs w:val="24"/>
        </w:rPr>
        <w:t xml:space="preserve"> kolejnym roku relacja łącznej kwoty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obsługi </w:t>
      </w:r>
      <w:r w:rsidR="00F856E9" w:rsidRPr="00D15B21">
        <w:rPr>
          <w:rFonts w:ascii="Times New Roman" w:hAnsi="Times New Roman" w:cs="Times New Roman"/>
          <w:sz w:val="24"/>
          <w:szCs w:val="24"/>
        </w:rPr>
        <w:t>zadłużenia</w:t>
      </w:r>
      <w:r w:rsidRPr="00D15B21">
        <w:rPr>
          <w:rFonts w:ascii="Times New Roman" w:hAnsi="Times New Roman" w:cs="Times New Roman"/>
          <w:sz w:val="24"/>
          <w:szCs w:val="24"/>
        </w:rPr>
        <w:t xml:space="preserve"> powiększonej o potencjalne wypłaty z tytułu udzielonych poręczeń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podzielona przez dochody </w:t>
      </w:r>
      <w:r w:rsidR="00F856E9" w:rsidRPr="00D15B21">
        <w:rPr>
          <w:rFonts w:ascii="Times New Roman" w:hAnsi="Times New Roman" w:cs="Times New Roman"/>
          <w:sz w:val="24"/>
          <w:szCs w:val="24"/>
        </w:rPr>
        <w:t>budżetu</w:t>
      </w:r>
      <w:r w:rsidRPr="00D15B21">
        <w:rPr>
          <w:rFonts w:ascii="Times New Roman" w:hAnsi="Times New Roman" w:cs="Times New Roman"/>
          <w:sz w:val="24"/>
          <w:szCs w:val="24"/>
        </w:rPr>
        <w:t xml:space="preserve"> ogółem przekroczy średnią arytmetyczną z ostatnich 3 lat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relacji jej dochodów </w:t>
      </w:r>
      <w:r w:rsidR="00F856E9" w:rsidRPr="00D15B21">
        <w:rPr>
          <w:rFonts w:ascii="Times New Roman" w:hAnsi="Times New Roman" w:cs="Times New Roman"/>
          <w:sz w:val="24"/>
          <w:szCs w:val="24"/>
        </w:rPr>
        <w:lastRenderedPageBreak/>
        <w:t>bieżących</w:t>
      </w:r>
      <w:r w:rsidRPr="00D15B21">
        <w:rPr>
          <w:rFonts w:ascii="Times New Roman" w:hAnsi="Times New Roman" w:cs="Times New Roman"/>
          <w:sz w:val="24"/>
          <w:szCs w:val="24"/>
        </w:rPr>
        <w:t xml:space="preserve"> powiększonych o dochody ze </w:t>
      </w:r>
      <w:r w:rsidR="00F856E9" w:rsidRPr="00D15B21">
        <w:rPr>
          <w:rFonts w:ascii="Times New Roman" w:hAnsi="Times New Roman" w:cs="Times New Roman"/>
          <w:sz w:val="24"/>
          <w:szCs w:val="24"/>
        </w:rPr>
        <w:t>sprzedaży</w:t>
      </w:r>
      <w:r w:rsidR="00F856E9">
        <w:rPr>
          <w:rFonts w:ascii="Times New Roman" w:hAnsi="Times New Roman" w:cs="Times New Roman"/>
          <w:sz w:val="24"/>
          <w:szCs w:val="24"/>
        </w:rPr>
        <w:t xml:space="preserve"> majątku oraz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pomniejszonych o wydatki </w:t>
      </w:r>
      <w:r w:rsidR="00F856E9" w:rsidRPr="00D15B21">
        <w:rPr>
          <w:rFonts w:ascii="Times New Roman" w:hAnsi="Times New Roman" w:cs="Times New Roman"/>
          <w:sz w:val="24"/>
          <w:szCs w:val="24"/>
        </w:rPr>
        <w:t>bieżące</w:t>
      </w:r>
      <w:r w:rsidRPr="00D15B21">
        <w:rPr>
          <w:rFonts w:ascii="Times New Roman" w:hAnsi="Times New Roman" w:cs="Times New Roman"/>
          <w:sz w:val="24"/>
          <w:szCs w:val="24"/>
        </w:rPr>
        <w:t xml:space="preserve"> podzielonych przez dochody ogółem. Nowy sposób limitowania </w:t>
      </w:r>
      <w:r w:rsidR="00F856E9" w:rsidRPr="00D15B21">
        <w:rPr>
          <w:rFonts w:ascii="Times New Roman" w:hAnsi="Times New Roman" w:cs="Times New Roman"/>
          <w:sz w:val="24"/>
          <w:szCs w:val="24"/>
        </w:rPr>
        <w:t>zadłużenia</w:t>
      </w:r>
      <w:r w:rsidRPr="00D15B21">
        <w:rPr>
          <w:rFonts w:ascii="Times New Roman" w:hAnsi="Times New Roman" w:cs="Times New Roman"/>
          <w:sz w:val="24"/>
          <w:szCs w:val="24"/>
        </w:rPr>
        <w:t xml:space="preserve"> oparty jest wprost na saldzie operacyjnym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powiększonym o dochody ze </w:t>
      </w:r>
      <w:r w:rsidR="00F856E9" w:rsidRPr="00D15B21">
        <w:rPr>
          <w:rFonts w:ascii="Times New Roman" w:hAnsi="Times New Roman" w:cs="Times New Roman"/>
          <w:sz w:val="24"/>
          <w:szCs w:val="24"/>
        </w:rPr>
        <w:t>sprzedaży</w:t>
      </w:r>
      <w:r w:rsidRPr="00D15B21">
        <w:rPr>
          <w:rFonts w:ascii="Times New Roman" w:hAnsi="Times New Roman" w:cs="Times New Roman"/>
          <w:sz w:val="24"/>
          <w:szCs w:val="24"/>
        </w:rPr>
        <w:t xml:space="preserve"> majątku. Im </w:t>
      </w:r>
      <w:r w:rsidR="00F856E9" w:rsidRPr="00D15B21">
        <w:rPr>
          <w:rFonts w:ascii="Times New Roman" w:hAnsi="Times New Roman" w:cs="Times New Roman"/>
          <w:sz w:val="24"/>
          <w:szCs w:val="24"/>
        </w:rPr>
        <w:t>wyższe</w:t>
      </w:r>
      <w:r w:rsidRPr="00D15B21">
        <w:rPr>
          <w:rFonts w:ascii="Times New Roman" w:hAnsi="Times New Roman" w:cs="Times New Roman"/>
          <w:sz w:val="24"/>
          <w:szCs w:val="24"/>
        </w:rPr>
        <w:t xml:space="preserve"> to saldo tym </w:t>
      </w:r>
      <w:r w:rsidR="00F856E9" w:rsidRPr="00D15B21">
        <w:rPr>
          <w:rFonts w:ascii="Times New Roman" w:hAnsi="Times New Roman" w:cs="Times New Roman"/>
          <w:sz w:val="24"/>
          <w:szCs w:val="24"/>
        </w:rPr>
        <w:t>wyższe</w:t>
      </w:r>
      <w:r w:rsidRPr="00D15B21">
        <w:rPr>
          <w:rFonts w:ascii="Times New Roman" w:hAnsi="Times New Roman" w:cs="Times New Roman"/>
          <w:sz w:val="24"/>
          <w:szCs w:val="24"/>
        </w:rPr>
        <w:t xml:space="preserve">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możliwości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="00F856E9" w:rsidRPr="00D15B21">
        <w:rPr>
          <w:rFonts w:ascii="Times New Roman" w:hAnsi="Times New Roman" w:cs="Times New Roman"/>
          <w:sz w:val="24"/>
          <w:szCs w:val="24"/>
        </w:rPr>
        <w:t>zadłużania</w:t>
      </w:r>
      <w:r w:rsidRPr="00D15B21">
        <w:rPr>
          <w:rFonts w:ascii="Times New Roman" w:hAnsi="Times New Roman" w:cs="Times New Roman"/>
          <w:sz w:val="24"/>
          <w:szCs w:val="24"/>
        </w:rPr>
        <w:t xml:space="preserve">. Nowe regulacje w tym zakresie w </w:t>
      </w:r>
      <w:r w:rsidR="00F856E9" w:rsidRPr="00D15B21">
        <w:rPr>
          <w:rFonts w:ascii="Times New Roman" w:hAnsi="Times New Roman" w:cs="Times New Roman"/>
          <w:sz w:val="24"/>
          <w:szCs w:val="24"/>
        </w:rPr>
        <w:t>dużym</w:t>
      </w:r>
      <w:r w:rsidRPr="00D15B21">
        <w:rPr>
          <w:rFonts w:ascii="Times New Roman" w:hAnsi="Times New Roman" w:cs="Times New Roman"/>
          <w:sz w:val="24"/>
          <w:szCs w:val="24"/>
        </w:rPr>
        <w:t xml:space="preserve"> stopniu </w:t>
      </w:r>
      <w:r w:rsidR="00F856E9" w:rsidRPr="00D15B21">
        <w:rPr>
          <w:rFonts w:ascii="Times New Roman" w:hAnsi="Times New Roman" w:cs="Times New Roman"/>
          <w:sz w:val="24"/>
          <w:szCs w:val="24"/>
        </w:rPr>
        <w:t>uzależniają, więc</w:t>
      </w:r>
      <w:r w:rsidRPr="00D15B21">
        <w:rPr>
          <w:rFonts w:ascii="Times New Roman" w:hAnsi="Times New Roman" w:cs="Times New Roman"/>
          <w:sz w:val="24"/>
          <w:szCs w:val="24"/>
        </w:rPr>
        <w:t xml:space="preserve">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możliwości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inwestycyjne jednostek samorządu terytorialnego od poziomu salda operacyjnego. </w:t>
      </w:r>
      <w:r w:rsidR="00F856E9">
        <w:rPr>
          <w:rFonts w:ascii="Times New Roman" w:hAnsi="Times New Roman" w:cs="Times New Roman"/>
          <w:sz w:val="24"/>
          <w:szCs w:val="24"/>
        </w:rPr>
        <w:br/>
      </w:r>
      <w:r w:rsidRPr="00D15B21">
        <w:rPr>
          <w:rFonts w:ascii="Times New Roman" w:hAnsi="Times New Roman" w:cs="Times New Roman"/>
          <w:sz w:val="24"/>
          <w:szCs w:val="24"/>
        </w:rPr>
        <w:t>Po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pierwsze dodatnie saldo operacyjne jest kwotą, która wprost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</w:t>
      </w:r>
      <w:r w:rsidR="00F856E9">
        <w:rPr>
          <w:rFonts w:ascii="Times New Roman" w:hAnsi="Times New Roman" w:cs="Times New Roman"/>
          <w:sz w:val="24"/>
          <w:szCs w:val="24"/>
        </w:rPr>
        <w:t>e</w:t>
      </w:r>
      <w:r w:rsidRPr="00D15B21">
        <w:rPr>
          <w:rFonts w:ascii="Times New Roman" w:hAnsi="Times New Roman" w:cs="Times New Roman"/>
          <w:sz w:val="24"/>
          <w:szCs w:val="24"/>
        </w:rPr>
        <w:t xml:space="preserve"> być przeznaczona na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>inwestycje</w:t>
      </w:r>
      <w:r w:rsidR="00F856E9">
        <w:rPr>
          <w:rFonts w:ascii="Times New Roman" w:hAnsi="Times New Roman" w:cs="Times New Roman"/>
          <w:sz w:val="24"/>
          <w:szCs w:val="24"/>
        </w:rPr>
        <w:t xml:space="preserve">, </w:t>
      </w:r>
      <w:r w:rsidRPr="00D15B21">
        <w:rPr>
          <w:rFonts w:ascii="Times New Roman" w:hAnsi="Times New Roman" w:cs="Times New Roman"/>
          <w:sz w:val="24"/>
          <w:szCs w:val="24"/>
        </w:rPr>
        <w:t xml:space="preserve">a po drugie jej poziom przesądza o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możliwościach</w:t>
      </w:r>
      <w:r w:rsidRPr="00D15B21">
        <w:rPr>
          <w:rFonts w:ascii="Times New Roman" w:hAnsi="Times New Roman" w:cs="Times New Roman"/>
          <w:sz w:val="24"/>
          <w:szCs w:val="24"/>
        </w:rPr>
        <w:t xml:space="preserve"> zaciągania długu, który co do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zasady </w:t>
      </w:r>
      <w:r w:rsidR="00F856E9" w:rsidRPr="00D15B21">
        <w:rPr>
          <w:rFonts w:ascii="Times New Roman" w:hAnsi="Times New Roman" w:cs="Times New Roman"/>
          <w:sz w:val="24"/>
          <w:szCs w:val="24"/>
        </w:rPr>
        <w:t>służy</w:t>
      </w:r>
      <w:r w:rsidRPr="00D15B21">
        <w:rPr>
          <w:rFonts w:ascii="Times New Roman" w:hAnsi="Times New Roman" w:cs="Times New Roman"/>
          <w:sz w:val="24"/>
          <w:szCs w:val="24"/>
        </w:rPr>
        <w:t xml:space="preserve"> celom inwestycyjnym</w:t>
      </w:r>
      <w:r w:rsidR="00F856E9">
        <w:rPr>
          <w:rFonts w:ascii="Times New Roman" w:hAnsi="Times New Roman" w:cs="Times New Roman"/>
          <w:sz w:val="24"/>
          <w:szCs w:val="24"/>
        </w:rPr>
        <w:t>.</w:t>
      </w:r>
      <w:r w:rsidR="0050252E" w:rsidRPr="0050252E">
        <w:t xml:space="preserve"> </w:t>
      </w:r>
      <w:r w:rsidR="0050252E">
        <w:t>Wy</w:t>
      </w:r>
      <w:r w:rsidR="0050252E" w:rsidRPr="0050252E">
        <w:rPr>
          <w:rFonts w:ascii="Times New Roman" w:hAnsi="Times New Roman" w:cs="Times New Roman"/>
          <w:sz w:val="24"/>
          <w:szCs w:val="24"/>
        </w:rPr>
        <w:t>sokość salda operacyjnego</w:t>
      </w:r>
      <w:r w:rsidR="0050252E">
        <w:rPr>
          <w:rFonts w:ascii="Times New Roman" w:hAnsi="Times New Roman" w:cs="Times New Roman"/>
          <w:sz w:val="24"/>
          <w:szCs w:val="24"/>
        </w:rPr>
        <w:t xml:space="preserve"> dla Powiatu Goleniowskiego </w:t>
      </w:r>
      <w:r w:rsidR="0050252E" w:rsidRPr="0050252E">
        <w:rPr>
          <w:rFonts w:ascii="Times New Roman" w:hAnsi="Times New Roman" w:cs="Times New Roman"/>
          <w:sz w:val="24"/>
          <w:szCs w:val="24"/>
        </w:rPr>
        <w:t>obliczana na podstawie art. 242 ustawy o finansach publicznych w całym okresie wieloletniej</w:t>
      </w:r>
      <w:r w:rsidR="0050252E">
        <w:rPr>
          <w:rFonts w:ascii="Times New Roman" w:hAnsi="Times New Roman" w:cs="Times New Roman"/>
          <w:sz w:val="24"/>
          <w:szCs w:val="24"/>
        </w:rPr>
        <w:t xml:space="preserve"> </w:t>
      </w:r>
      <w:r w:rsidR="0050252E" w:rsidRPr="0050252E">
        <w:rPr>
          <w:rFonts w:ascii="Times New Roman" w:hAnsi="Times New Roman" w:cs="Times New Roman"/>
          <w:sz w:val="24"/>
          <w:szCs w:val="24"/>
        </w:rPr>
        <w:t>prognozy finans</w:t>
      </w:r>
      <w:r w:rsidR="0050252E">
        <w:rPr>
          <w:rFonts w:ascii="Times New Roman" w:hAnsi="Times New Roman" w:cs="Times New Roman"/>
          <w:sz w:val="24"/>
          <w:szCs w:val="24"/>
        </w:rPr>
        <w:t xml:space="preserve">owej przyjmuje wartość dodatnią, a </w:t>
      </w:r>
      <w:r w:rsidR="00E1576E">
        <w:rPr>
          <w:rFonts w:ascii="Times New Roman" w:hAnsi="Times New Roman" w:cs="Times New Roman"/>
          <w:sz w:val="24"/>
          <w:szCs w:val="24"/>
        </w:rPr>
        <w:t>Wieloletnia Prognoza finansowa na lata 201</w:t>
      </w:r>
      <w:r w:rsidR="00273024">
        <w:rPr>
          <w:rFonts w:ascii="Times New Roman" w:hAnsi="Times New Roman" w:cs="Times New Roman"/>
          <w:sz w:val="24"/>
          <w:szCs w:val="24"/>
        </w:rPr>
        <w:t>5</w:t>
      </w:r>
      <w:r w:rsidR="00E1576E">
        <w:rPr>
          <w:rFonts w:ascii="Times New Roman" w:hAnsi="Times New Roman" w:cs="Times New Roman"/>
          <w:sz w:val="24"/>
          <w:szCs w:val="24"/>
        </w:rPr>
        <w:t xml:space="preserve"> - 202</w:t>
      </w:r>
      <w:r w:rsidR="00273024">
        <w:rPr>
          <w:rFonts w:ascii="Times New Roman" w:hAnsi="Times New Roman" w:cs="Times New Roman"/>
          <w:sz w:val="24"/>
          <w:szCs w:val="24"/>
        </w:rPr>
        <w:t>7</w:t>
      </w:r>
      <w:r w:rsidR="00E1576E">
        <w:rPr>
          <w:rFonts w:ascii="Times New Roman" w:hAnsi="Times New Roman" w:cs="Times New Roman"/>
          <w:sz w:val="24"/>
          <w:szCs w:val="24"/>
        </w:rPr>
        <w:t xml:space="preserve"> spełnia dopuszczane wskaźniki finansowe wynikające zarówno ze starej jak i z nowej</w:t>
      </w:r>
      <w:r w:rsidR="00E1576E" w:rsidRPr="00E1576E">
        <w:t xml:space="preserve"> </w:t>
      </w:r>
      <w:r w:rsidR="00E1576E" w:rsidRPr="00E1576E">
        <w:rPr>
          <w:rFonts w:ascii="Times New Roman" w:hAnsi="Times New Roman" w:cs="Times New Roman"/>
          <w:sz w:val="24"/>
          <w:szCs w:val="24"/>
        </w:rPr>
        <w:t xml:space="preserve">ustawy </w:t>
      </w:r>
      <w:r w:rsidR="00CF254C">
        <w:rPr>
          <w:rFonts w:ascii="Times New Roman" w:hAnsi="Times New Roman" w:cs="Times New Roman"/>
          <w:sz w:val="24"/>
          <w:szCs w:val="24"/>
        </w:rPr>
        <w:br/>
      </w:r>
      <w:r w:rsidR="00E1576E" w:rsidRPr="00E1576E">
        <w:rPr>
          <w:rFonts w:ascii="Times New Roman" w:hAnsi="Times New Roman" w:cs="Times New Roman"/>
          <w:sz w:val="24"/>
          <w:szCs w:val="24"/>
        </w:rPr>
        <w:t>o finansach publicznych</w:t>
      </w:r>
      <w:r w:rsidR="00E1576E">
        <w:rPr>
          <w:rFonts w:ascii="Times New Roman" w:hAnsi="Times New Roman" w:cs="Times New Roman"/>
          <w:sz w:val="24"/>
          <w:szCs w:val="24"/>
        </w:rPr>
        <w:t xml:space="preserve">. </w:t>
      </w:r>
      <w:r w:rsidR="005F697D" w:rsidRPr="005F697D">
        <w:rPr>
          <w:rFonts w:ascii="Times New Roman" w:hAnsi="Times New Roman" w:cs="Times New Roman"/>
          <w:sz w:val="24"/>
          <w:szCs w:val="24"/>
        </w:rPr>
        <w:t xml:space="preserve">Wskaźniki </w:t>
      </w:r>
      <w:r w:rsidR="00120B8F" w:rsidRPr="00120B8F">
        <w:rPr>
          <w:rFonts w:ascii="Times New Roman" w:hAnsi="Times New Roman" w:cs="Times New Roman"/>
          <w:sz w:val="24"/>
          <w:szCs w:val="24"/>
        </w:rPr>
        <w:t>obliczone zgodnie z przepisami art. 243 ustawy z dnia 27 sierpnia 2009 r. o finansach publicznych, w prognozowanych latach</w:t>
      </w:r>
      <w:r w:rsidR="00273024">
        <w:rPr>
          <w:rFonts w:ascii="Times New Roman" w:hAnsi="Times New Roman" w:cs="Times New Roman"/>
          <w:sz w:val="24"/>
          <w:szCs w:val="24"/>
        </w:rPr>
        <w:t xml:space="preserve"> kształtują się następująco:</w:t>
      </w:r>
    </w:p>
    <w:p w:rsidR="00273024" w:rsidRPr="00273024" w:rsidRDefault="00273024" w:rsidP="003D357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"/>
        <w:gridCol w:w="1283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16"/>
        <w:gridCol w:w="616"/>
        <w:gridCol w:w="616"/>
        <w:gridCol w:w="616"/>
      </w:tblGrid>
      <w:tr w:rsidR="002D1FD0" w:rsidRPr="002D1FD0" w:rsidTr="002D1FD0">
        <w:tc>
          <w:tcPr>
            <w:tcW w:w="445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3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2D1FD0" w:rsidRPr="002D1FD0" w:rsidTr="002D1FD0">
        <w:tc>
          <w:tcPr>
            <w:tcW w:w="445" w:type="dxa"/>
          </w:tcPr>
          <w:p w:rsidR="002D1FD0" w:rsidRPr="002D1FD0" w:rsidRDefault="002D1FD0" w:rsidP="003D357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D1FD0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3" w:type="dxa"/>
          </w:tcPr>
          <w:p w:rsidR="002D1FD0" w:rsidRPr="002D1FD0" w:rsidRDefault="002D1FD0" w:rsidP="003D357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2D1FD0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(R+O)/D</w:t>
            </w:r>
          </w:p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3,31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3,63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3,54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5,59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5,37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2,92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  <w:tc>
          <w:tcPr>
            <w:tcW w:w="616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2,12</w:t>
            </w:r>
          </w:p>
        </w:tc>
      </w:tr>
      <w:tr w:rsidR="002D1FD0" w:rsidRPr="002D1FD0" w:rsidTr="002D1FD0">
        <w:tc>
          <w:tcPr>
            <w:tcW w:w="445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3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b/>
                <w:sz w:val="20"/>
                <w:szCs w:val="20"/>
              </w:rPr>
              <w:t>Średnia z 3 poprzednich lat (Db+Sm-Wb)/D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5,26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5,78</w:t>
            </w:r>
          </w:p>
        </w:tc>
        <w:tc>
          <w:tcPr>
            <w:tcW w:w="629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6,80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7,79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8,27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8,67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8,59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8,32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7,55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7,26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6,96</w:t>
            </w:r>
          </w:p>
        </w:tc>
      </w:tr>
      <w:tr w:rsidR="002D1FD0" w:rsidRPr="002D1FD0" w:rsidTr="002D1FD0">
        <w:tc>
          <w:tcPr>
            <w:tcW w:w="445" w:type="dxa"/>
          </w:tcPr>
          <w:p w:rsidR="002D1FD0" w:rsidRPr="002D1FD0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3" w:type="dxa"/>
          </w:tcPr>
          <w:p w:rsidR="003D3571" w:rsidRDefault="002D1FD0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Relacja spełniona </w:t>
            </w:r>
            <w:r w:rsidR="003D3571">
              <w:rPr>
                <w:rFonts w:ascii="Times New Roman" w:hAnsi="Times New Roman" w:cs="Times New Roman"/>
                <w:b/>
                <w:sz w:val="20"/>
                <w:szCs w:val="20"/>
              </w:rPr>
              <w:t>jeżeli</w:t>
            </w:r>
          </w:p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  <w:r w:rsidR="002D1FD0">
              <w:rPr>
                <w:rFonts w:ascii="Times New Roman" w:hAnsi="Times New Roman" w:cs="Times New Roman"/>
                <w:b/>
                <w:sz w:val="20"/>
                <w:szCs w:val="20"/>
              </w:rPr>
              <w:t>2&lt;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  <w:r w:rsidR="002D1FD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2D1FD0" w:rsidRPr="002D1FD0" w:rsidRDefault="003D3571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</w:tbl>
    <w:p w:rsidR="00273024" w:rsidRPr="002D1FD0" w:rsidRDefault="00273024" w:rsidP="003D3571">
      <w:pPr>
        <w:pStyle w:val="Bodytekst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D1FD0" w:rsidRPr="002D1FD0" w:rsidRDefault="002D1FD0" w:rsidP="003D3571">
      <w:pPr>
        <w:pStyle w:val="Body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FD0">
        <w:rPr>
          <w:rFonts w:ascii="Times New Roman" w:hAnsi="Times New Roman" w:cs="Times New Roman"/>
          <w:sz w:val="24"/>
          <w:szCs w:val="24"/>
        </w:rPr>
        <w:t xml:space="preserve">R - spłata rat długoterminowych kredytów i pożyczek oraz wykup </w:t>
      </w:r>
      <w:r w:rsidR="003D3571">
        <w:rPr>
          <w:rFonts w:ascii="Times New Roman" w:hAnsi="Times New Roman" w:cs="Times New Roman"/>
          <w:sz w:val="24"/>
          <w:szCs w:val="24"/>
        </w:rPr>
        <w:t>obligacji</w:t>
      </w:r>
    </w:p>
    <w:p w:rsidR="002D1FD0" w:rsidRPr="002D1FD0" w:rsidRDefault="002D1FD0" w:rsidP="003D3571">
      <w:pPr>
        <w:pStyle w:val="Body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FD0">
        <w:rPr>
          <w:rFonts w:ascii="Times New Roman" w:hAnsi="Times New Roman" w:cs="Times New Roman"/>
          <w:sz w:val="24"/>
          <w:szCs w:val="24"/>
        </w:rPr>
        <w:t>O – odsetki, w tym od długu krótkoterminowego</w:t>
      </w:r>
    </w:p>
    <w:p w:rsidR="002D1FD0" w:rsidRPr="002D1FD0" w:rsidRDefault="002D1FD0" w:rsidP="003D3571">
      <w:pPr>
        <w:pStyle w:val="Body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FD0">
        <w:rPr>
          <w:rFonts w:ascii="Times New Roman" w:hAnsi="Times New Roman" w:cs="Times New Roman"/>
          <w:sz w:val="24"/>
          <w:szCs w:val="24"/>
        </w:rPr>
        <w:t>D - dochody ogółem</w:t>
      </w:r>
    </w:p>
    <w:p w:rsidR="002D1FD0" w:rsidRPr="00CF254C" w:rsidRDefault="002D1FD0" w:rsidP="003D3571">
      <w:pPr>
        <w:ind w:firstLine="0"/>
        <w:rPr>
          <w:color w:val="000000"/>
          <w:sz w:val="24"/>
          <w:szCs w:val="24"/>
        </w:rPr>
      </w:pPr>
      <w:r w:rsidRPr="00CF254C">
        <w:rPr>
          <w:color w:val="000000"/>
          <w:sz w:val="24"/>
          <w:szCs w:val="24"/>
        </w:rPr>
        <w:t>Db – dochody bieżące</w:t>
      </w:r>
    </w:p>
    <w:p w:rsidR="002D1FD0" w:rsidRPr="00CF254C" w:rsidRDefault="002D1FD0" w:rsidP="003D3571">
      <w:pPr>
        <w:ind w:firstLine="0"/>
        <w:rPr>
          <w:color w:val="000000"/>
          <w:sz w:val="24"/>
          <w:szCs w:val="24"/>
        </w:rPr>
      </w:pPr>
      <w:r w:rsidRPr="00CF254C">
        <w:rPr>
          <w:color w:val="000000"/>
          <w:sz w:val="24"/>
          <w:szCs w:val="24"/>
        </w:rPr>
        <w:t>Sm – sprzedaż majątku</w:t>
      </w:r>
    </w:p>
    <w:p w:rsidR="002D1FD0" w:rsidRPr="00CF254C" w:rsidRDefault="002D1FD0" w:rsidP="003D3571">
      <w:pPr>
        <w:ind w:firstLine="0"/>
        <w:rPr>
          <w:color w:val="000000"/>
          <w:sz w:val="24"/>
          <w:szCs w:val="24"/>
        </w:rPr>
      </w:pPr>
      <w:r w:rsidRPr="00CF254C">
        <w:rPr>
          <w:color w:val="000000"/>
          <w:sz w:val="24"/>
          <w:szCs w:val="24"/>
        </w:rPr>
        <w:t>Wb – wydatki bieżące</w:t>
      </w:r>
    </w:p>
    <w:p w:rsidR="002D1FD0" w:rsidRPr="002D1FD0" w:rsidRDefault="002D1FD0" w:rsidP="003D3571">
      <w:pPr>
        <w:ind w:firstLine="0"/>
        <w:rPr>
          <w:sz w:val="24"/>
          <w:szCs w:val="24"/>
        </w:rPr>
      </w:pPr>
      <w:r w:rsidRPr="00CF254C">
        <w:rPr>
          <w:color w:val="000000"/>
          <w:sz w:val="24"/>
          <w:szCs w:val="24"/>
        </w:rPr>
        <w:t>D – dochody ogółem</w:t>
      </w:r>
    </w:p>
    <w:p w:rsidR="00273024" w:rsidRDefault="00273024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5B21" w:rsidRPr="00D15B21" w:rsidRDefault="00D15B21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3D2E" w:rsidRPr="003D3571" w:rsidRDefault="00D83D2E" w:rsidP="003D3571">
      <w:pPr>
        <w:pStyle w:val="Bodytek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3571">
        <w:rPr>
          <w:rFonts w:ascii="Times New Roman" w:hAnsi="Times New Roman" w:cs="Times New Roman"/>
          <w:i/>
          <w:sz w:val="24"/>
          <w:szCs w:val="24"/>
        </w:rPr>
        <w:t>Goleniów, dnia 1</w:t>
      </w:r>
      <w:r w:rsidR="003D3571" w:rsidRPr="003D3571">
        <w:rPr>
          <w:rFonts w:ascii="Times New Roman" w:hAnsi="Times New Roman" w:cs="Times New Roman"/>
          <w:i/>
          <w:sz w:val="24"/>
          <w:szCs w:val="24"/>
        </w:rPr>
        <w:t>4 listopada 2014</w:t>
      </w:r>
      <w:r w:rsidRPr="003D3571">
        <w:rPr>
          <w:rFonts w:ascii="Times New Roman" w:hAnsi="Times New Roman" w:cs="Times New Roman"/>
          <w:i/>
          <w:sz w:val="24"/>
          <w:szCs w:val="24"/>
        </w:rPr>
        <w:t xml:space="preserve"> r.</w:t>
      </w:r>
    </w:p>
    <w:p w:rsidR="00D83D2E" w:rsidRPr="003D3571" w:rsidRDefault="00D83D2E" w:rsidP="003D3571">
      <w:pPr>
        <w:pStyle w:val="Bodytekst"/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D3571">
        <w:rPr>
          <w:rFonts w:ascii="Times New Roman" w:hAnsi="Times New Roman" w:cs="Times New Roman"/>
          <w:i/>
          <w:sz w:val="24"/>
          <w:szCs w:val="24"/>
          <w:u w:val="single"/>
        </w:rPr>
        <w:t>Opracował: B. Bąk Z.</w:t>
      </w:r>
      <w:r w:rsidR="00245388" w:rsidRPr="003D357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D3571">
        <w:rPr>
          <w:rFonts w:ascii="Times New Roman" w:hAnsi="Times New Roman" w:cs="Times New Roman"/>
          <w:i/>
          <w:sz w:val="24"/>
          <w:szCs w:val="24"/>
          <w:u w:val="single"/>
        </w:rPr>
        <w:t>Mazur</w:t>
      </w:r>
    </w:p>
    <w:p w:rsidR="00AC23C5" w:rsidRDefault="00AC23C5" w:rsidP="00BA1061">
      <w:pPr>
        <w:spacing w:line="360" w:lineRule="auto"/>
      </w:pPr>
    </w:p>
    <w:p w:rsidR="00AC23C5" w:rsidRDefault="00AC23C5" w:rsidP="00BA1061">
      <w:pPr>
        <w:spacing w:line="360" w:lineRule="auto"/>
      </w:pPr>
    </w:p>
    <w:p w:rsidR="00AC23C5" w:rsidRDefault="00AC23C5" w:rsidP="00BA1061">
      <w:pPr>
        <w:spacing w:line="360" w:lineRule="auto"/>
      </w:pPr>
    </w:p>
    <w:sectPr w:rsidR="00AC23C5" w:rsidSect="005C4458">
      <w:headerReference w:type="even" r:id="rId9"/>
      <w:headerReference w:type="default" r:id="rId10"/>
      <w:pgSz w:w="11906" w:h="16838" w:code="9"/>
      <w:pgMar w:top="1134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5CF" w:rsidRDefault="00D975CF">
      <w:r>
        <w:separator/>
      </w:r>
    </w:p>
  </w:endnote>
  <w:endnote w:type="continuationSeparator" w:id="0">
    <w:p w:rsidR="00D975CF" w:rsidRDefault="00D9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5CF" w:rsidRDefault="00D975CF">
      <w:r>
        <w:separator/>
      </w:r>
    </w:p>
  </w:footnote>
  <w:footnote w:type="continuationSeparator" w:id="0">
    <w:p w:rsidR="00D975CF" w:rsidRDefault="00D97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81" w:rsidRPr="00556680" w:rsidRDefault="00011964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D975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81" w:rsidRPr="00556680" w:rsidRDefault="00011964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 w:rsidR="007D7DD5">
      <w:rPr>
        <w:rStyle w:val="Numerstrony"/>
        <w:noProof/>
        <w:sz w:val="26"/>
        <w:szCs w:val="26"/>
      </w:rPr>
      <w:t>5</w:t>
    </w:r>
    <w:r w:rsidRPr="00556680">
      <w:rPr>
        <w:rStyle w:val="Numerstrony"/>
        <w:sz w:val="26"/>
        <w:szCs w:val="26"/>
      </w:rPr>
      <w:fldChar w:fldCharType="end"/>
    </w:r>
  </w:p>
  <w:p w:rsidR="00A83781" w:rsidRDefault="00D975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82A49"/>
    <w:multiLevelType w:val="hybridMultilevel"/>
    <w:tmpl w:val="E068A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13087"/>
    <w:multiLevelType w:val="hybridMultilevel"/>
    <w:tmpl w:val="AC663A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B012C"/>
    <w:multiLevelType w:val="hybridMultilevel"/>
    <w:tmpl w:val="507E50C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2E"/>
    <w:rsid w:val="00011964"/>
    <w:rsid w:val="00034EB8"/>
    <w:rsid w:val="000C7D41"/>
    <w:rsid w:val="00120B8F"/>
    <w:rsid w:val="001F0674"/>
    <w:rsid w:val="00245388"/>
    <w:rsid w:val="00261DD2"/>
    <w:rsid w:val="00273024"/>
    <w:rsid w:val="0028107A"/>
    <w:rsid w:val="002A2D67"/>
    <w:rsid w:val="002D1FD0"/>
    <w:rsid w:val="00392742"/>
    <w:rsid w:val="0039426B"/>
    <w:rsid w:val="003D3571"/>
    <w:rsid w:val="003F5C25"/>
    <w:rsid w:val="00417E23"/>
    <w:rsid w:val="004422C0"/>
    <w:rsid w:val="004A45B0"/>
    <w:rsid w:val="004F73DF"/>
    <w:rsid w:val="0050252E"/>
    <w:rsid w:val="005E348D"/>
    <w:rsid w:val="005F697D"/>
    <w:rsid w:val="00621AF2"/>
    <w:rsid w:val="00626B35"/>
    <w:rsid w:val="00647D16"/>
    <w:rsid w:val="0065718F"/>
    <w:rsid w:val="0068066A"/>
    <w:rsid w:val="00765045"/>
    <w:rsid w:val="007802D6"/>
    <w:rsid w:val="007B0A29"/>
    <w:rsid w:val="007D03EA"/>
    <w:rsid w:val="007D7DD5"/>
    <w:rsid w:val="008121B8"/>
    <w:rsid w:val="00823E6B"/>
    <w:rsid w:val="008B7101"/>
    <w:rsid w:val="008F5652"/>
    <w:rsid w:val="008F730B"/>
    <w:rsid w:val="009056C3"/>
    <w:rsid w:val="00915BEC"/>
    <w:rsid w:val="0092682B"/>
    <w:rsid w:val="009C15E5"/>
    <w:rsid w:val="00A278FC"/>
    <w:rsid w:val="00AA2E8A"/>
    <w:rsid w:val="00AC23C5"/>
    <w:rsid w:val="00AE1FC0"/>
    <w:rsid w:val="00B36181"/>
    <w:rsid w:val="00BA1061"/>
    <w:rsid w:val="00BA4749"/>
    <w:rsid w:val="00C4699A"/>
    <w:rsid w:val="00C63126"/>
    <w:rsid w:val="00C71274"/>
    <w:rsid w:val="00CB0586"/>
    <w:rsid w:val="00CC5B0C"/>
    <w:rsid w:val="00CF254C"/>
    <w:rsid w:val="00CF4154"/>
    <w:rsid w:val="00CF7B43"/>
    <w:rsid w:val="00D15B21"/>
    <w:rsid w:val="00D72862"/>
    <w:rsid w:val="00D83D2E"/>
    <w:rsid w:val="00D975CF"/>
    <w:rsid w:val="00DB13DF"/>
    <w:rsid w:val="00DD50D1"/>
    <w:rsid w:val="00DD79AC"/>
    <w:rsid w:val="00E1576E"/>
    <w:rsid w:val="00E2573C"/>
    <w:rsid w:val="00F23310"/>
    <w:rsid w:val="00F24EBE"/>
    <w:rsid w:val="00F679BB"/>
    <w:rsid w:val="00F856E9"/>
    <w:rsid w:val="00FB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CBF6D-17B4-43D9-ADAF-B343B91C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274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83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3D2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umerstrony">
    <w:name w:val="page number"/>
    <w:basedOn w:val="Domylnaczcionkaakapitu"/>
    <w:rsid w:val="00D83D2E"/>
  </w:style>
  <w:style w:type="paragraph" w:styleId="Akapitzlist">
    <w:name w:val="List Paragraph"/>
    <w:basedOn w:val="Normalny"/>
    <w:uiPriority w:val="34"/>
    <w:qFormat/>
    <w:rsid w:val="00D83D2E"/>
    <w:pPr>
      <w:ind w:left="720"/>
      <w:contextualSpacing/>
    </w:pPr>
  </w:style>
  <w:style w:type="paragraph" w:customStyle="1" w:styleId="Bodytekst">
    <w:name w:val="Body tekst"/>
    <w:basedOn w:val="Normalny"/>
    <w:next w:val="Normalny"/>
    <w:uiPriority w:val="99"/>
    <w:rsid w:val="00D83D2E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ind w:firstLine="0"/>
      <w:jc w:val="both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Bodytekst"/>
    <w:uiPriority w:val="99"/>
    <w:rsid w:val="00D83D2E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D83D2E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7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9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1559F-30AA-4383-B60B-407DF07A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1645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a.ostrowska</cp:lastModifiedBy>
  <cp:revision>2</cp:revision>
  <cp:lastPrinted>2014-11-13T11:16:00Z</cp:lastPrinted>
  <dcterms:created xsi:type="dcterms:W3CDTF">2014-12-16T10:07:00Z</dcterms:created>
  <dcterms:modified xsi:type="dcterms:W3CDTF">2014-12-16T10:07:00Z</dcterms:modified>
</cp:coreProperties>
</file>